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default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收费亭、显示屏、雷达、指示标志等</w:t>
      </w:r>
      <w:r>
        <w:rPr>
          <w:rFonts w:hint="default" w:ascii="Times New Roman" w:hAnsi="Times New Roman" w:eastAsia="宋体" w:cs="Times New Roman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1.2项目地点：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广州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具体工程量清单</w:t>
      </w:r>
    </w:p>
    <w:tbl>
      <w:tblPr>
        <w:tblStyle w:val="14"/>
        <w:tblW w:w="7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2493"/>
        <w:gridCol w:w="1392"/>
        <w:gridCol w:w="660"/>
        <w:gridCol w:w="888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序号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材料名称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品牌/型号</w:t>
            </w: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单位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数量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802-3-11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雾灯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802-11-1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单人智慧收费亭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802-11-2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双人智慧收费亭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804-1-11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收费亭LED显示屏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804-1-12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入口拒超车道信息显示屏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805-2-2-28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事件检测雷达软件平台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802-3-5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手动栏杆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804-5-3-1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雷达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804-1-5-1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交通信号灯（含安装支架、设备机箱）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804-1-6-3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车道控制标志（含安装支架）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804-1-7-5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人行横洞指示标志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804-1-7-6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疏散指示标志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804-1-9-1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光电诱导标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804-1-9-2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光电诱导标控制器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804-1-9-3</w:t>
            </w:r>
          </w:p>
        </w:tc>
        <w:tc>
          <w:tcPr>
            <w:tcW w:w="2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消防设备指示电光标志（250x400mm）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color w:val="auto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</w:rPr>
        <w:t>包括运输、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lang w:val="en-US" w:eastAsia="zh-CN"/>
        </w:rPr>
        <w:t>安装调试、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</w:rPr>
        <w:t>最高限价：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lang w:val="en-US" w:eastAsia="zh-CN"/>
        </w:rPr>
        <w:t>2304052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</w:rPr>
        <w:t>.00元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技术要求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0" w:name="_Toc2888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802-3-5 手动栏杆</w:t>
      </w:r>
      <w:bookmarkEnd w:id="0"/>
    </w:p>
    <w:p>
      <w:pPr>
        <w:numPr>
          <w:ilvl w:val="0"/>
          <w:numId w:val="5"/>
        </w:numPr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手动栏杆（杆长3.5m，普通车道用）安装于3.5m宽普通车道。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手动栏杆设置与收费岛岛头处，栏杆长度可根据所在车道宽度调节，最长应达到4.0m。栏杆下边缘距车道地面的安装高度在750mm～1050mm。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栏杆表面应贴敷红白相间的Ⅲ类反光膜和挂一个“禁止驶入”标志，其公称直径为450mm。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其他功能要求应符合GB/T 24974-2010 《收费用手动栏杆》。</w:t>
      </w:r>
    </w:p>
    <w:p>
      <w:pPr>
        <w:numPr>
          <w:ilvl w:val="0"/>
          <w:numId w:val="5"/>
        </w:numPr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栏杆、立柱等主要金属构件宜采用不锈钢制成，其它易腐蚀的金属构件应按相关国家标准作相应的防腐处理。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横杆与旋转轴连接应灵活、无卡滞现象。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横杆处于关闭位置时应保持水平。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各部件表面应光滑平整，无明显凹凸变形，边角过渡圆滑；金属构件防护层色泽均匀，无划、裂痕等损伤。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禁行标志采用3004铝板，标志板边缘进行卷边加固；为保证夜间标志板的反光效果，采用Ⅶ类反光膜，反光膜逆反射系数、色品坐标、耐候性能等必须满足GB/T18833-2012《道路交通反光膜》的要求。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包含设备基础，参考招标图纸，可根据产品样式调整。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设备基础包括混凝土、钢筋、地脚螺栓、螺母、底法兰盘等。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1" w:name="_Toc12852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802-3-11 雾灯</w:t>
      </w:r>
      <w:bookmarkEnd w:id="1"/>
    </w:p>
    <w:p>
      <w:pPr>
        <w:numPr>
          <w:ilvl w:val="0"/>
          <w:numId w:val="7"/>
        </w:numPr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雾灯安装在每一车道的岛头部分，安装在预留基础上，在雾天、黑夜或能见度低的条件下，开启雾灯用于提示车道位置。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雾灯应是高亮度的，具有很强的穿透力,以保证在雾天、黑夜或能见度低的条件下，眼睛视力1.0以上的司机在75米以外能清晰可见。投标人应在投标书中说明所用发光装置的技术性能和使用寿命。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由收费亭内电源开关控制，并配置同频率闪光控制器。</w:t>
      </w:r>
    </w:p>
    <w:p>
      <w:pPr>
        <w:numPr>
          <w:ilvl w:val="0"/>
          <w:numId w:val="7"/>
        </w:numPr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灯光颜色：琥珀色。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外形尺寸：260mm×260mm×100mm。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灯罩采用304不锈钢制作，灯体由防水、防尘、耐幅射、抗老化材料制成。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MTBF：≥30,000小时。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功率消耗：＜8W。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包含立柱、设备基础，参考招标图纸，可根据产品样式调整。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设备基础包括地脚螺栓、螺母、底法兰盘。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2" w:name="_Toc12625"/>
      <w:bookmarkStart w:id="3" w:name="_Hlk44857078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802-11-1单人智慧收费亭</w:t>
      </w:r>
      <w:bookmarkEnd w:id="2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</w:p>
    <w:bookmarkEnd w:id="3"/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含桌椅、1p冷暖空调、亭内配电箱、应急照明等亭内设施，可嵌入自助发卡机、自助缴费机、LED显示屏</w:t>
      </w:r>
    </w:p>
    <w:p>
      <w:pPr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1、 功能要求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采用一体化智能型收费亭，包括防爆亭体、可翻转工作台、升降式旋转座椅、机箱（设备舱）、电源插座、多媒体插座、接地汇流排、磁面防静电地板、冷暖空调、腿部加热、防尾气及新风系统、环境监测系统、LED灯照明系统、门禁系统、应急灯、干粉灭火器、中央控制系统、电动门窗控制系统、电子雾化玻璃、触摸总控模块、可翻转式显示器（预留专用收费键盘位置，嵌入式），以及必要的尾缆及安装附件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采用防爆型单向收费亭，收费亭长2700mm×宽1600mm×高2720mm，采用后开电动平移门。智能亭采用一体化结构，主要部件和设备均嵌入亭体，有机结合形成一个整体，四角为圆弧型。收费亭外形尺寸同时应满足交通行业《公路收费亭》GB/T24719-2009的规定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亭体采用3mm钢结构框架和1.5mm钢板壳体，抗外力性能强。智能亭体全钢材料、收费亭外壳选用镀锌钢板喷塑加工而成，内部装饰采用木质材料。收费亭体内部主要骨架应选用优质镀锌方管，采用满焊缝的方法焊接而成，并进行可靠的防腐处理。用于收费亭的型钢应满足GB/T707、GB/T6723、GB/T6728、GB/T9787、GB/T9788的要求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亭体结构采用隔音处理设计，门窗采用中空双层钢化玻璃(隔音效果强)。夹层隔热材料防火、环保，密封防水性能可达到使用环境要求；收费亭内部表面的装饰整洁、明亮、各块装饰板的拼接缝应紧凑、平整、强度和刚度应满足使用要求；整体结构满足国家交通行业标准JT/T422-2000《公路收费亭》的要求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收费亭前视野窗下方设置成设备前舱，采用亭外开舱门方式（亭外开舱门位置不得与防撞栏位置冲突）便于检修，预留安装车道机、控制系统，配电系统，包括亭内设备和部件全部采用模块化设计，便于安装维护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门窗具备防夹功能，收费窗口安装自动风幕系统及补光灯。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收费亭配置门禁系统，使用IC卡或密码门架，触摸式，可支持收费员身份卡，最大用户量为4000.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控制所有电设备通断的配电箱，应安装在接近门口的合适位置，各路电器必须设有保护器。收费亭内应设多功能插座，位置应在收费员座位右侧，安装高度应高于亭内地板表面300mm，插座采用镶嵌。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收费亭内配置LED灯光系统，并应满足便收费员工作环境照度在120～150 Lx的要求，亭内顶灯开关应设在门口便于操作处。灯具防触电保护类别：I类。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收费桌面实现一体化设计，简约化收费桌面可嵌入安装液晶显示器、收费键盘、IC卡读写器及对讲广播终端，窗口设置扶手、控制按键及废票箱，方便收费人员的工作。收费员操作台台面设计、制造应保证十年内材料不老化，可翻转。收费员操作台的大小、高度应符合收费亭的尺寸及要求。收费员操作台应具有收费抽屉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配备升降式旋转座椅，靠背俯仰角度可调。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采用磁面、防滑、防静电地板砖，由发包人和承包人联合确定具体材质和样式等。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收费亭内配置智能环境检测调节设备（收费亭内配置1.5P智能空调设备，腿部取暖设备、加湿器等），前视窗配置智能调节遮阳帘。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本收费亭配置智能新风系统具备全热交换和静电除尘功能，能够根据亭内空气质量，智能调节风量，去除PM2.5，改善亭内的空气质量。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配备中控软件，通过中控软件,管理员能够对收费亭状态进行管理。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本收费亭设计时应考虑到亭内将预留摄像机安装位置。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整体MTBF：≥30,000小时。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2、 主要技术指标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(1). 触摸总控制模块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亭内的灯光、门窗、空调、新风、风幕、雾化玻璃等均采用智能控制调节，其操作终端为触摸液晶屏。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技术参数：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液晶触摸屏：Intel X5 64G，内存4G, 10.1寸，分辨率：1920*1200。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亭内通讯接口：WIFI；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接口： 4个RS485；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工作湿度：10—90%RH；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平均无故障时间MTBF:5000小时；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平均故障恢复时间MTTR:&lt;0.5小时；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工作电压：DC24V；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工作温度：－20～＋65℃；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操作方式：液晶触摸操作；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控制终端类型：灯光、门窗、新风、风幕、雾化玻璃、背景音乐等進行控制和设置。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(2). 智能LED照明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亭内设置亭内顶部LED照明和顶部侧面LED灯带照明，可通过总控触摸液晶屏实现照明控制和状态监测。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侧面LED灯带兼做应急照明。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白光灯最大功率：≥28W。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背景灯最大功率：≥30W。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(3). 冷暖空调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采用1.5P一体化冷暖空调，集吊顶安装，可通过总控触摸液晶屏控制和设置温度和风速，并可状态监测。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制冷量：≥3600W，制冷功率：≤1160W。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制热量：≥4050W，制热功率：≤1150W。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循环风量：≥560m3/h。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(4). 防尾气及新风系统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进风量和出风量独立可调，调整范围为0～150m3/h。(高档150m3/h、高档118m3/h）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最大净化能力：≥150m3/h。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空气循环次数：≥7.5次/h时。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过滤效率：≥99.99%。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PM2.5一次净化率：≥98.9%。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全热交换方式，热交换效率：≥60%。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噪音（dB)：＜36dB。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(5). 环境检测系统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实时监测亭内温湿度、空气质量（PM2.5/CO/CO2/SO2等）、烟雾、光照度、人体感应等，最终通过终端触摸屏显示综合空气参数，根据设定值，可自动实现对空调、新风、照明等控制。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1）湿度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湿度检测范围：0～95%RH。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湿度检测精度：±10%RH。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2）温度：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温度检测范围：-20-80度。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温度检测精度：±2℃。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3）照度：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照度检测范围：0-65535 lx。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照度检测精度：±10%。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4）PM2.5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PM2.5检测范围：0～1000μm/m3。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PM2.5检测精度：±40%。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5）有毒气体监测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CO2 监测浓度范围：350-10000ppm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CO监测浓度范围：10-10000ppm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SO2监测浓度范围：1-500ppm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6）烟雾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监测浓度范围：200-5000ppm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(6). 门禁系统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支持高速公路员工非接触式IC卡（即“802-1-1 身份卡”），符合ISO/IEC 14443 TYPE A 的Mifare I工业标准格式。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读卡频率：13.56MHz。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电动锁模式：电磁锁，12V。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刷卡距离：1～15CM；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支持增加/删除用户、更改密码。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用户容量：4000个。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(7). 自动遮阳帘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保护等级：IP44。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输出转速：≥17RPM。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(8). 自动窗系统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窗门与收费亭体外形和颜色谐调一致，玻璃材质为白透双层中空钢化玻璃。开关方式为手自一体，并设置有机械锁。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电机：DC24V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最大功率：30W；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传动方式：直流无刷电机+同步皮带滑台；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支持自动/手动开关模式，支持防夹功能；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自动开关窗时间：3秒±0.5秒。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开门运行速度：15－46㎝/s（可调）；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关门运行速度：13－46㎝/s（可调）；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开往时间：3～8s（可调）；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手动推力：小于40N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工作环境：－30℃～＋50℃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(9). 电子雾化玻璃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右侧玻璃设置电子雾化控制。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收费员可根据外部光线环境选择控制雾化玻璃，以营造舒适的工作环境。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可通过总控触摸液晶屏控制和和状态监测。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供电电压：60VAC；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额定功率：&lt;5W；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工作环境：－30℃～＋50℃；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(10). 可翻转式显示器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安装在亭内桌面上，采用可翻转式安装。预留嵌入式专用键盘安装位置。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其余同“802-3-13 工控机” 中显示器部分。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(11). 其它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含设备机箱1个，位于收费亭前窗下方，亭外开门，便于检修。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根据需要配置1个或多个电源插座。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含接地汇流排1个。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含应急灯1个。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含干粉灭火器1个。</w:t>
      </w:r>
    </w:p>
    <w:p>
      <w:pPr>
        <w:keepLines/>
        <w:spacing w:before="260" w:after="260" w:line="240" w:lineRule="auto"/>
        <w:ind w:firstLine="361" w:firstLineChars="200"/>
        <w:outlineLvl w:val="2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4" w:name="_Toc32727"/>
      <w:r>
        <w:rPr>
          <w:rFonts w:hint="default" w:ascii="Times New Roman" w:hAnsi="Times New Roman" w:eastAsia="宋体" w:cs="Times New Roman"/>
          <w:b/>
          <w:bCs/>
          <w:color w:val="auto"/>
          <w:sz w:val="18"/>
          <w:szCs w:val="18"/>
          <w:highlight w:val="none"/>
        </w:rPr>
        <w:t>802-11-2 双人智慧收费亭</w:t>
      </w:r>
      <w:bookmarkEnd w:id="4"/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收费亭长4400mm×宽1600mm×高2720mm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 其余同“802-11-1智慧型标准单人收费亭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5" w:name="_Toc17809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804-1-5-1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交通信号灯（含安装支架、设备机箱）</w:t>
      </w:r>
      <w:bookmarkEnd w:id="5"/>
    </w:p>
    <w:p>
      <w:pPr>
        <w:numPr>
          <w:ilvl w:val="0"/>
          <w:numId w:val="8"/>
        </w:numPr>
        <w:shd w:val="clear" w:color="auto" w:fill="FFFFFF"/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信号灯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一组交通信号灯包含4个单基色LED灯，分别为红、黄、绿和绿色左向箭头四种信号。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交通信号灯要求能在区域控制器本地和监控分中心远程控制下，对隧道洞口交通进行自动或手动控制。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单灯直径：300mm。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垂直光强≥50cd，光强分布符合GB14887-2011中关于“图案信号灯轮廓最低光强”要求。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动态视认距离≥160m（车速100km/h），视认角≥30°。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视在功率：≤25VA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驱动电压：220VAC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防护等级：IP65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抗风速≥145km/h产生的风压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产品整体MTBF≥10,000h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工作温度：-10℃～+55℃，工作湿度：10%～95%</w:t>
      </w:r>
    </w:p>
    <w:p>
      <w:pPr>
        <w:numPr>
          <w:ilvl w:val="0"/>
          <w:numId w:val="8"/>
        </w:numPr>
        <w:shd w:val="clear" w:color="auto" w:fill="FFFFFF"/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灯罩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灯罩用于封装LED控制板，并考虑与立柱结构连接的预埋孔。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要求抗风、防雨、放腐蚀、防渗漏、防尘、遮阳，密封结构，外形美观，防护等级≥IP65。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结构主要框架用料均应通过材料许用应力的计算，安全系数的选择应高于40m/s 风速条件，确保整屏安全、稳定、可靠。</w:t>
      </w:r>
    </w:p>
    <w:p>
      <w:pPr>
        <w:numPr>
          <w:ilvl w:val="0"/>
          <w:numId w:val="8"/>
        </w:numPr>
        <w:shd w:val="clear" w:color="auto" w:fill="FFFFFF"/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机箱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机箱为全天候防风雨型，防护等级IP65，机箱所有进出线孔均应做密封、防水处理。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安装在立柱上，下沿距离基础平台≥1.8m。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机箱采用镀锌钢板制作，机箱所有钢构件采用热镀锌处理，镀锌量不小于600g/m2。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机箱内空间可放置所需的19”机架、接线架、电源、防雷设备、加热及排风设备等，隧道外亮度检测器也利用此机箱安装设备。机箱尺寸：600×800×300mm，根据实际采购设备，合理设计机箱内部布局，必要时可对机箱尺寸进行一定的调整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机箱内配置电源插座。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机箱门开启时，应有自动锁定装置；机箱门关闭时应密封并锁定。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若机箱内设备本身芯片达不到项目地区工作温度要求时，机箱设计应考虑双层机箱或加顶盖增加空气对流等措施，以降低机箱内温度；冬季达不到温度要求时应有加热装置。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6" w:name="_Toc19476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804-1-6-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车道控制标志（含安装支架）</w:t>
      </w:r>
      <w:bookmarkEnd w:id="6"/>
    </w:p>
    <w:p>
      <w:pPr>
        <w:numPr>
          <w:ilvl w:val="0"/>
          <w:numId w:val="9"/>
        </w:numPr>
        <w:shd w:val="clear" w:color="auto" w:fill="FFFFFF"/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LED显示模块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每套普通车道指示器包含3个指示器，每个指示器有正反2个LED显示模块，即一处车道指示器包含LED显示模块6套、安装支架1套。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每套车行横通道前的车道指示器包含4个指示器，每个指示器有正反2个LED显示模块，即一处车道指示器包含LED显示模块8套、安装支架1套。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每个LED显示模块采用红、绿两基色发光二极管（LED）光源，具有绿色“↑”和红色“×”2种工作状态。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车道指示器要求能在区域控制器本地和监控中心远程控制下，对道路和隧道内交通进行自动或手动控制，每个LED模块对应一条车道的一个方向。具体要求如下：</w:t>
      </w:r>
    </w:p>
    <w:p>
      <w:pPr>
        <w:numPr>
          <w:ilvl w:val="3"/>
          <w:numId w:val="10"/>
        </w:numPr>
        <w:shd w:val="clear" w:color="auto" w:fill="FFFFFF"/>
        <w:tabs>
          <w:tab w:val="left" w:pos="720"/>
          <w:tab w:val="left" w:pos="900"/>
        </w:tabs>
        <w:spacing w:line="240" w:lineRule="auto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绿色“↑”亮：表示该车道、该方向车辆可行驶。</w:t>
      </w:r>
    </w:p>
    <w:p>
      <w:pPr>
        <w:numPr>
          <w:ilvl w:val="3"/>
          <w:numId w:val="10"/>
        </w:numPr>
        <w:shd w:val="clear" w:color="auto" w:fill="FFFFFF"/>
        <w:tabs>
          <w:tab w:val="left" w:pos="720"/>
          <w:tab w:val="left" w:pos="900"/>
        </w:tabs>
        <w:spacing w:line="240" w:lineRule="auto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红色“×”亮：表示该车道、该方向车辆不可行驶。</w:t>
      </w:r>
    </w:p>
    <w:p>
      <w:pPr>
        <w:numPr>
          <w:ilvl w:val="3"/>
          <w:numId w:val="10"/>
        </w:numPr>
        <w:shd w:val="clear" w:color="auto" w:fill="FFFFFF"/>
        <w:tabs>
          <w:tab w:val="left" w:pos="720"/>
          <w:tab w:val="left" w:pos="900"/>
        </w:tabs>
        <w:spacing w:line="240" w:lineRule="auto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不同车道、不同方向的车辆通行控制，有两个车道、两个方向的LED显示模块组合完成。</w:t>
      </w:r>
    </w:p>
    <w:p>
      <w:pPr>
        <w:numPr>
          <w:ilvl w:val="3"/>
          <w:numId w:val="10"/>
        </w:numPr>
        <w:shd w:val="clear" w:color="auto" w:fill="FFFFFF"/>
        <w:tabs>
          <w:tab w:val="left" w:pos="720"/>
          <w:tab w:val="left" w:pos="900"/>
        </w:tabs>
        <w:spacing w:line="240" w:lineRule="auto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同1个车道的正反两面显示器应有互锁装置，禁止同时出现绿色“↑”亮。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LED显示模块尺寸：0.6×0.6m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垂直光强≥50cd，光强分布符合GB14887-2003中关于“图案信号灯轮廓最低光强”要求。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动态视认距离≥160m（车速100km/h），视认角≥30°。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产品整体MTBF≥10000h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防护等级：IP65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工作温度：-10℃～+55℃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工作湿度：10%～95%</w:t>
      </w:r>
    </w:p>
    <w:p>
      <w:pPr>
        <w:numPr>
          <w:ilvl w:val="0"/>
          <w:numId w:val="9"/>
        </w:numPr>
        <w:shd w:val="clear" w:color="auto" w:fill="FFFFFF"/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安装支架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将车道控制器吊装在隧道顶，上端与隧道顶预埋件连接，下端与车道控制器显示屏机箱连接，连接构件根据实际隧道预埋机构和实际采购的显示屏机箱确定。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采用镀锌钢管材料，公称直径及壁厚的确定应根据实际采购的LED显示模块和显示屏机箱重量进行验算；长度应保证显示屏下沿高于所在路面5.5m。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7" w:name="_Toc17704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804-1-7-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人行横洞指示标志</w:t>
      </w:r>
      <w:bookmarkEnd w:id="7"/>
    </w:p>
    <w:p>
      <w:pPr>
        <w:shd w:val="clear" w:color="auto" w:fill="FFFFFF"/>
        <w:spacing w:line="240" w:lineRule="auto"/>
        <w:ind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人行横通道指示标志设置在隧道内消防设备处，版面尺寸为：800×500mm，各模块技术要求如下：</w:t>
      </w:r>
    </w:p>
    <w:p>
      <w:pPr>
        <w:numPr>
          <w:ilvl w:val="0"/>
          <w:numId w:val="11"/>
        </w:numPr>
        <w:shd w:val="clear" w:color="auto" w:fill="FFFFFF"/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照明电源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采用LED照明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表面亮度：150～300cd/m2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工作温度：-10℃～+55℃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工作湿度：10%～95%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每套电光指示标志均备用45min蓄电池电源</w:t>
      </w:r>
    </w:p>
    <w:p>
      <w:pPr>
        <w:numPr>
          <w:ilvl w:val="0"/>
          <w:numId w:val="11"/>
        </w:numPr>
        <w:shd w:val="clear" w:color="auto" w:fill="FFFFFF"/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机箱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亚克力2mm厚板面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防护等级≥IP65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标志版面图案参照《公路隧道设计规范》（第二册 交通工程与附属设施）（JTG D70/2-2014）。</w:t>
      </w:r>
    </w:p>
    <w:p>
      <w:pPr>
        <w:numPr>
          <w:ilvl w:val="0"/>
          <w:numId w:val="11"/>
        </w:numPr>
        <w:shd w:val="clear" w:color="auto" w:fill="FFFFFF"/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施工要求</w:t>
      </w:r>
    </w:p>
    <w:p>
      <w:pPr>
        <w:shd w:val="clear" w:color="auto" w:fill="FFFFFF"/>
        <w:spacing w:line="240" w:lineRule="auto"/>
        <w:ind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隧道内灯箱均采用隧道侧壁悬挂，安装高度详见招标图纸，各类灯箱标志均不得侵入隧道内行车限界，具体施工要求如下：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按照产品清单，核查产品组件是否完整。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检查设备的完好程度，并检测探测器的电子、机械性能。如设备不完整，或有物理性损坏，或LED灯亮度不够或不亮，应重新采购设备。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检查隧道壁预埋接线盒和管道是否满足设备接线要求。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检查接地阻值是否满足设备防雷接地需求，如不满足，应对接地进行调整。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根据设备机箱固定要求，在隧道壁上打膨胀螺栓。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安装灯箱，连接线缆，固定灯箱。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8" w:name="_Toc410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804-1-7-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疏散指示标志</w:t>
      </w:r>
      <w:bookmarkEnd w:id="8"/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疏散指示标志设置在隧道内，间距50m，版面尺寸为：750×250mm，表面亮度：5～300cd/m2。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各模块技术和施工要求参见“804-1-7-1 人行横通道指示标志”。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9" w:name="_Toc23663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804-1-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电光标志</w:t>
      </w:r>
      <w:bookmarkEnd w:id="9"/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10" w:name="_Toc28642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804-1-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-1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光电诱导标</w:t>
      </w:r>
      <w:bookmarkEnd w:id="10"/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白色部分最小亮度不应小于150cd/m2，最大亮度不应大于300cd/m2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亮度均匀度不应小于70%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每个光电诱导标志有两面显示，每面6个LED发光灯；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光源：LED；电源：DC 24V；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隧道内的电光诱导标志为：左侧黄色，右侧白色；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防护等级：IP67；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MTBF≥10万小时。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11" w:name="_Toc3174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804-1-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-2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光电诱导标控制器</w:t>
      </w:r>
      <w:bookmarkEnd w:id="11"/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电源：24V；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防护等级：IP65；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控制支路：不少于2个支路（每个支路可接2个控制线）；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电源防护等级：IP20。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12" w:name="_Toc10803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804-1-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-3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消防设备指示电光标志（250x400mm）</w:t>
      </w:r>
      <w:bookmarkEnd w:id="12"/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白色部分最小亮度不应小于150cd/m2，最大亮度不应大于300cd/m2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亮度均匀度不应小于70%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防护等级：IP67；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MTBF≥10万小时。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各模块技术和施工要求参见“804-1-7-1 人行横通道指示标志”。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13" w:name="_Toc20209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804-1-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收费亭LED显示屏</w:t>
      </w:r>
      <w:bookmarkEnd w:id="13"/>
    </w:p>
    <w:p>
      <w:pPr>
        <w:pStyle w:val="9"/>
        <w:spacing w:after="0"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a.模组光学特性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LED 封装： SMD3535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水平可视角度： 120（+20/-20） 度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垂直可视角度： 120（+20/-20） 度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亮度： ≥8000CD/㎡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像素点间距： 5mm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像素密度： 27777Dots/㎡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像素构成： 1R1G1B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单元板分辨率： 32*32=1024Dots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驱动方式： 八扫（恒流）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最佳视距： ≥6.0m</w:t>
      </w:r>
    </w:p>
    <w:p>
      <w:pPr>
        <w:pStyle w:val="9"/>
        <w:spacing w:after="0"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b.模组物理特性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单元板尺寸（长*宽*厚） ：160*160*20mm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单元板重量： 0.5Kg±0.05Kg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结构特点： 灯驱合一</w:t>
      </w:r>
    </w:p>
    <w:p>
      <w:pPr>
        <w:pStyle w:val="9"/>
        <w:spacing w:after="0"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c.模组电学特性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输入电压（直流） ：4.8-5.5V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最大电流： 5A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单元板最大功率： 25W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平均无故障时间： ≥1 万小时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使用寿命： ≥10 万小时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盲点率： 小于万分之三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使用环境： 户外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工作温度范围： -20 至+60℃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工作湿度范围： 10%至 90% RH</w:t>
      </w:r>
    </w:p>
    <w:p>
      <w:pPr>
        <w:pStyle w:val="9"/>
        <w:spacing w:after="0"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d.整屏技术参数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整屏显示尺寸： 1120mm*1440mm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整屏分辨率： 288*224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电源使用国内外知名品牌，使用寿命大于等于10万小时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整屏亮度： ≥8000CD/㎡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箱体防水等级： IP65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散热方式： 风冷（台产风机）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14" w:name="_Toc7602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804-1-1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入口拒超车道信息显示屏</w:t>
      </w:r>
      <w:bookmarkEnd w:id="14"/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技术参数性能须满足暂行技术规定及入口拒超要求,采用LED点阵式，含直行、掉头信号灯</w:t>
      </w:r>
    </w:p>
    <w:p>
      <w:pPr>
        <w:pStyle w:val="41"/>
        <w:numPr>
          <w:ilvl w:val="0"/>
          <w:numId w:val="12"/>
        </w:numPr>
        <w:shd w:val="clear" w:color="auto" w:fill="auto"/>
        <w:spacing w:line="240" w:lineRule="auto"/>
        <w:jc w:val="left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其余同“802-3-7 费额显示器”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15" w:name="_Toc5080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802-3-7-1 费额显示器（含通行信号灯、语音报价器、立柱）</w:t>
      </w:r>
      <w:bookmarkEnd w:id="15"/>
    </w:p>
    <w:p>
      <w:pPr>
        <w:numPr>
          <w:ilvl w:val="0"/>
          <w:numId w:val="13"/>
        </w:numPr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在长期暴露于太阳的环境下，其可见性不能降低。信息显示屏可自动调节光强度，以防止在夜间产生眩光影响司机视觉，节省能源及防止器件过早老化。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可同时显示车型（1位）、入口（至少三位汉字）、费额（4位）、余额（4位）、车牌、称重等信息。报警器可车道通行信号灯集成为一体。</w:t>
      </w:r>
    </w:p>
    <w:p>
      <w:pPr>
        <w:numPr>
          <w:ilvl w:val="0"/>
          <w:numId w:val="13"/>
        </w:numPr>
        <w:spacing w:line="240" w:lineRule="auto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主要技术指标</w:t>
      </w:r>
    </w:p>
    <w:p>
      <w:pPr>
        <w:numPr>
          <w:ilvl w:val="0"/>
          <w:numId w:val="14"/>
        </w:numPr>
        <w:spacing w:line="240" w:lineRule="auto"/>
        <w:ind w:left="993" w:hanging="573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显示屏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应符合GB/T27879的要求；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显示亮度：≥2000cd/m2；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显示颜色：红色和绿色；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至少显示6行8列汉字，内置24×24点阵GB2312一级汉字字库；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通信接口：标准RS232；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电源：AC220V±20％ 50Hz±4％；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可视距离：不小于20m；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工作环境温度：-30℃～80℃；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工作环境湿度：0％～95％；防护等级：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IP65；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MTBF：＞15,000小时，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MTTR：＜0.5小时；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包含立柱、设备基础，参考招标图纸，可根据产品样式调整。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设备基础包括地脚螺栓、螺母、底法兰盘。</w:t>
      </w:r>
    </w:p>
    <w:p>
      <w:pPr>
        <w:numPr>
          <w:ilvl w:val="0"/>
          <w:numId w:val="14"/>
        </w:numPr>
        <w:spacing w:line="240" w:lineRule="auto"/>
        <w:ind w:left="993" w:hanging="573"/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18"/>
          <w:szCs w:val="18"/>
          <w:highlight w:val="none"/>
        </w:rPr>
        <w:t>语音报价器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内置语音报价器。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播报语音要求语音清晰、连贯、洪亮。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0" w:firstLine="360" w:firstLineChars="20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提供两种语音控制方式：音频输入、串口输入。</w:t>
      </w:r>
    </w:p>
    <w:p>
      <w:pPr>
        <w:pStyle w:val="5"/>
        <w:numPr>
          <w:ilvl w:val="2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16" w:name="_Toc12879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804-5-3-1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雷达</w:t>
      </w:r>
      <w:bookmarkEnd w:id="16"/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频段：W波段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雷达制式：FMCW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刷新率：≥80ms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输出目标数量：≥256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水平波束宽度（3dB）：40°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俯仰波束宽度（3dB）：10°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方位角精度： &lt;0.2°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方位角度分辨率： &lt;0.8°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测速范围：±55m/s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速度精度：0.2m/s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距离精度：0.2m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最大探测距离：＞500m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平均功耗：＜50W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供电电压：DC12V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 xml:space="preserve">工作温度：-40℃~85℃ </w:t>
      </w:r>
    </w:p>
    <w:p>
      <w:pPr>
        <w:numPr>
          <w:ilvl w:val="0"/>
          <w:numId w:val="6"/>
        </w:numPr>
        <w:shd w:val="clear" w:color="auto" w:fill="FFFFFF"/>
        <w:spacing w:line="240" w:lineRule="auto"/>
        <w:ind w:left="372" w:leftChars="177" w:firstLine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防护级别：IP67</w:t>
      </w:r>
    </w:p>
    <w:p>
      <w:pPr>
        <w:pStyle w:val="5"/>
        <w:numPr>
          <w:ilvl w:val="2"/>
          <w:numId w:val="0"/>
        </w:numPr>
        <w:ind w:left="142" w:leftChars="0"/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</w:pPr>
      <w:bookmarkStart w:id="17" w:name="_Toc12983"/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805-2-2-28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事件检测雷达软件平台</w:t>
      </w:r>
      <w:bookmarkEnd w:id="17"/>
    </w:p>
    <w:p>
      <w:pPr>
        <w:pStyle w:val="2"/>
        <w:rPr>
          <w:rFonts w:hint="default" w:ascii="Times New Roman" w:hAnsi="Times New Roman" w:eastAsia="宋体" w:cs="Times New Roman"/>
          <w:b/>
          <w:snapToGrid w:val="0"/>
          <w:kern w:val="0"/>
          <w:szCs w:val="21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</w:rPr>
        <w:t>接入路运一体化平台，可对检测区域内超速行驶车辆、停止车辆、倒车车辆、逆行车辆等进行实时监测，可提供检测区域内实时车速、实时交通流量、实时车辆位置信息、事件轨迹回放、历史数据查询等功能</w:t>
      </w:r>
      <w:r>
        <w:rPr>
          <w:rFonts w:hint="default" w:ascii="Times New Roman" w:hAnsi="Times New Roman" w:eastAsia="宋体" w:cs="Times New Roman"/>
          <w:color w:val="auto"/>
          <w:highlight w:val="none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2023年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</w:rPr>
        <w:t>之前发送至采购人邮箱：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</w:t>
      </w:r>
      <w:bookmarkStart w:id="21" w:name="_GoBack"/>
      <w:bookmarkEnd w:id="21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</w:rPr>
        <w:t>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bookmarkStart w:id="18" w:name="_Toc332965960"/>
      <w:bookmarkStart w:id="19" w:name="_Toc332793891"/>
      <w:bookmarkStart w:id="20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联系方式</w:t>
      </w:r>
      <w:bookmarkEnd w:id="18"/>
      <w:bookmarkEnd w:id="19"/>
      <w:bookmarkEnd w:id="20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有限公司二号楼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联  系  人：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 xml:space="preserve">                                              2023年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Latha">
    <w:altName w:val="Segoe Print"/>
    <w:panose1 w:val="020B0604020202020204"/>
    <w:charset w:val="01"/>
    <w:family w:val="roman"/>
    <w:pitch w:val="default"/>
    <w:sig w:usb0="00000000" w:usb1="00000000" w:usb2="00000000" w:usb3="00000000" w:csb0="00000001" w:csb1="00000000"/>
  </w:font>
  <w:font w:name="Viner Hand ITC">
    <w:panose1 w:val="03070502030502020203"/>
    <w:charset w:val="00"/>
    <w:family w:val="script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B032AAD"/>
    <w:multiLevelType w:val="multilevel"/>
    <w:tmpl w:val="0B032AAD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18E70174"/>
    <w:multiLevelType w:val="multilevel"/>
    <w:tmpl w:val="18E70174"/>
    <w:lvl w:ilvl="0" w:tentative="0">
      <w:start w:val="1"/>
      <w:numFmt w:val="bullet"/>
      <w:lvlText w:val="—"/>
      <w:lvlJc w:val="left"/>
      <w:pPr>
        <w:tabs>
          <w:tab w:val="left" w:pos="420"/>
        </w:tabs>
        <w:ind w:left="420" w:hanging="420"/>
      </w:pPr>
      <w:rPr>
        <w:rFonts w:hint="eastAsia" w:ascii="楷体_GB2312" w:hAnsi="Latha" w:eastAsia="楷体_GB2312"/>
      </w:rPr>
    </w:lvl>
    <w:lvl w:ilvl="1" w:tentative="0">
      <w:start w:val="1"/>
      <w:numFmt w:val="bullet"/>
      <w:lvlText w:val=""/>
      <w:lvlJc w:val="left"/>
      <w:pPr>
        <w:tabs>
          <w:tab w:val="left" w:pos="480"/>
        </w:tabs>
        <w:ind w:left="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900"/>
        </w:tabs>
        <w:ind w:left="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320"/>
        </w:tabs>
        <w:ind w:left="1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1740"/>
        </w:tabs>
        <w:ind w:left="1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160"/>
        </w:tabs>
        <w:ind w:left="2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580"/>
        </w:tabs>
        <w:ind w:left="2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000"/>
        </w:tabs>
        <w:ind w:left="3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420"/>
        </w:tabs>
        <w:ind w:left="3420" w:hanging="420"/>
      </w:pPr>
      <w:rPr>
        <w:rFonts w:hint="default" w:ascii="Wingdings" w:hAnsi="Wingdings"/>
      </w:rPr>
    </w:lvl>
  </w:abstractNum>
  <w:abstractNum w:abstractNumId="5">
    <w:nsid w:val="24D0733B"/>
    <w:multiLevelType w:val="multilevel"/>
    <w:tmpl w:val="24D0733B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26750105"/>
    <w:multiLevelType w:val="multilevel"/>
    <w:tmpl w:val="26750105"/>
    <w:lvl w:ilvl="0" w:tentative="0">
      <w:start w:val="1"/>
      <w:numFmt w:val="bullet"/>
      <w:lvlText w:val="−"/>
      <w:lvlJc w:val="left"/>
      <w:pPr>
        <w:ind w:left="704" w:hanging="420"/>
      </w:pPr>
      <w:rPr>
        <w:rFonts w:hint="default" w:ascii="Viner Hand ITC" w:hAnsi="Viner Hand ITC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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276F1557"/>
    <w:multiLevelType w:val="multilevel"/>
    <w:tmpl w:val="276F1557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D8A408C"/>
    <w:multiLevelType w:val="multilevel"/>
    <w:tmpl w:val="2D8A408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2F691CB8"/>
    <w:multiLevelType w:val="multilevel"/>
    <w:tmpl w:val="2F691CB8"/>
    <w:lvl w:ilvl="0" w:tentative="0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3CAC46B3"/>
    <w:multiLevelType w:val="multilevel"/>
    <w:tmpl w:val="3CAC46B3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C61694A"/>
    <w:multiLevelType w:val="multilevel"/>
    <w:tmpl w:val="4C61694A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12">
    <w:nsid w:val="60BB3AB1"/>
    <w:multiLevelType w:val="multilevel"/>
    <w:tmpl w:val="60BB3AB1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"/>
  </w:num>
  <w:num w:numId="5">
    <w:abstractNumId w:val="7"/>
  </w:num>
  <w:num w:numId="6">
    <w:abstractNumId w:val="11"/>
  </w:num>
  <w:num w:numId="7">
    <w:abstractNumId w:val="10"/>
  </w:num>
  <w:num w:numId="8">
    <w:abstractNumId w:val="8"/>
  </w:num>
  <w:num w:numId="9">
    <w:abstractNumId w:val="5"/>
  </w:num>
  <w:num w:numId="10">
    <w:abstractNumId w:val="4"/>
  </w:num>
  <w:num w:numId="11">
    <w:abstractNumId w:val="2"/>
  </w:num>
  <w:num w:numId="12">
    <w:abstractNumId w:val="6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5880374"/>
    <w:rsid w:val="061439B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92922C2"/>
    <w:rsid w:val="2A6117E0"/>
    <w:rsid w:val="2A91721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C2E12CC"/>
    <w:rsid w:val="3DD1395F"/>
    <w:rsid w:val="3E8C010F"/>
    <w:rsid w:val="3EFD65C9"/>
    <w:rsid w:val="3FED6AFD"/>
    <w:rsid w:val="400E2C48"/>
    <w:rsid w:val="403A795B"/>
    <w:rsid w:val="4044389B"/>
    <w:rsid w:val="40C03B09"/>
    <w:rsid w:val="42100EF9"/>
    <w:rsid w:val="434B112E"/>
    <w:rsid w:val="46C97C03"/>
    <w:rsid w:val="472B5FAC"/>
    <w:rsid w:val="477B6A09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ED510A9"/>
    <w:rsid w:val="5F087C2D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EE77415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next w:val="1"/>
    <w:qFormat/>
    <w:uiPriority w:val="0"/>
    <w:pPr>
      <w:spacing w:after="120"/>
    </w:pPr>
    <w:rPr>
      <w:rFonts w:ascii="Calibri" w:hAnsi="宋体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正文文本 (2)"/>
    <w:basedOn w:val="1"/>
    <w:qFormat/>
    <w:uiPriority w:val="0"/>
    <w:pPr>
      <w:shd w:val="clear" w:color="auto" w:fill="FFFFFF"/>
      <w:spacing w:line="0" w:lineRule="atLeast"/>
      <w:ind w:hanging="400"/>
      <w:jc w:val="distribute"/>
    </w:pPr>
    <w:rPr>
      <w:rFonts w:hAnsi="宋体"/>
      <w:kern w:val="0"/>
      <w:sz w:val="2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6693</Words>
  <Characters>8263</Characters>
  <Lines>61</Lines>
  <Paragraphs>17</Paragraphs>
  <TotalTime>10</TotalTime>
  <ScaleCrop>false</ScaleCrop>
  <LinksUpToDate>false</LinksUpToDate>
  <CharactersWithSpaces>8485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2023-05-04T02:12:11Z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