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lang w:eastAsia="zh-CN"/>
        </w:rPr>
        <w:t>广州市从化至黄埔高速公路一期工程机电工程（SG09合同段）</w:t>
      </w:r>
      <w:r>
        <w:rPr>
          <w:rFonts w:hint="eastAsia" w:eastAsia="仿宋_GB2312" w:cs="Times New Roman"/>
          <w:b/>
          <w:color w:val="000000"/>
          <w:sz w:val="32"/>
          <w:szCs w:val="32"/>
          <w:lang w:val="en-US" w:eastAsia="zh-CN"/>
        </w:rPr>
        <w:t>车道工控机</w:t>
      </w:r>
      <w:r>
        <w:rPr>
          <w:rFonts w:hint="default" w:ascii="Times New Roman" w:hAnsi="Times New Roman" w:eastAsia="仿宋_GB2312" w:cs="Times New Roman"/>
          <w:b/>
          <w:color w:val="000000"/>
          <w:sz w:val="32"/>
          <w:szCs w:val="32"/>
        </w:rPr>
        <w:t>采购意向征集公告</w:t>
      </w:r>
    </w:p>
    <w:p>
      <w:pPr>
        <w:spacing w:line="360" w:lineRule="auto"/>
        <w:jc w:val="center"/>
        <w:outlineLvl w:val="1"/>
        <w:rPr>
          <w:rFonts w:hint="default" w:ascii="Times New Roman" w:hAnsi="Times New Roman" w:cs="Times New Roman"/>
          <w:sz w:val="24"/>
        </w:rPr>
      </w:pPr>
    </w:p>
    <w:p>
      <w:pPr>
        <w:numPr>
          <w:ilvl w:val="0"/>
          <w:numId w:val="3"/>
        </w:numPr>
        <w:topLinePunct/>
        <w:spacing w:line="360" w:lineRule="auto"/>
        <w:outlineLvl w:val="1"/>
        <w:rPr>
          <w:rFonts w:hint="default" w:ascii="Times New Roman" w:hAnsi="Times New Roman" w:cs="Times New Roman"/>
          <w:b/>
          <w:snapToGrid w:val="0"/>
          <w:kern w:val="0"/>
          <w:sz w:val="24"/>
        </w:rPr>
      </w:pPr>
      <w:r>
        <w:rPr>
          <w:rFonts w:hint="default" w:ascii="Times New Roman" w:hAnsi="Times New Roman" w:cs="Times New Roman"/>
          <w:b/>
          <w:snapToGrid w:val="0"/>
          <w:kern w:val="0"/>
          <w:sz w:val="24"/>
        </w:rPr>
        <w:t>项目概况</w:t>
      </w:r>
    </w:p>
    <w:p>
      <w:pPr>
        <w:wordWrap w:val="0"/>
        <w:topLinePunct/>
        <w:spacing w:line="360" w:lineRule="auto"/>
        <w:ind w:firstLine="566" w:firstLineChars="236"/>
        <w:rPr>
          <w:rFonts w:hint="default" w:ascii="Times New Roman" w:hAnsi="Times New Roman" w:cs="Times New Roman"/>
          <w:bCs/>
          <w:snapToGrid w:val="0"/>
          <w:kern w:val="0"/>
          <w:sz w:val="24"/>
        </w:rPr>
      </w:pPr>
      <w:r>
        <w:rPr>
          <w:rFonts w:hint="default" w:ascii="Times New Roman" w:hAnsi="Times New Roman" w:cs="Times New Roman"/>
          <w:bCs/>
          <w:snapToGrid w:val="0"/>
          <w:kern w:val="0"/>
          <w:sz w:val="24"/>
        </w:rPr>
        <w:t>1.1项目名称：</w:t>
      </w:r>
      <w:r>
        <w:rPr>
          <w:rFonts w:hint="default" w:ascii="Times New Roman" w:hAnsi="Times New Roman" w:eastAsia="宋体" w:cs="Times New Roman"/>
          <w:bCs/>
          <w:snapToGrid w:val="0"/>
          <w:kern w:val="0"/>
          <w:sz w:val="24"/>
          <w:lang w:eastAsia="zh-CN"/>
        </w:rPr>
        <w:t>广州市从化至黄埔高速公路一期工程机电工程（SG09合同段）</w:t>
      </w:r>
    </w:p>
    <w:p>
      <w:pPr>
        <w:wordWrap w:val="0"/>
        <w:topLinePunct/>
        <w:spacing w:line="360" w:lineRule="auto"/>
        <w:ind w:firstLine="566" w:firstLineChars="236"/>
        <w:rPr>
          <w:rFonts w:hint="default" w:ascii="Times New Roman" w:hAnsi="Times New Roman" w:cs="Times New Roman"/>
        </w:rPr>
      </w:pPr>
      <w:r>
        <w:rPr>
          <w:rFonts w:hint="default" w:ascii="Times New Roman" w:hAnsi="Times New Roman" w:cs="Times New Roman"/>
          <w:bCs/>
          <w:snapToGrid w:val="0"/>
          <w:kern w:val="0"/>
          <w:sz w:val="24"/>
        </w:rPr>
        <w:t>1.2项目地点：广州市</w:t>
      </w:r>
    </w:p>
    <w:p>
      <w:pPr>
        <w:numPr>
          <w:ilvl w:val="0"/>
          <w:numId w:val="3"/>
        </w:numPr>
        <w:topLinePunct/>
        <w:spacing w:line="360" w:lineRule="auto"/>
        <w:outlineLvl w:val="1"/>
        <w:rPr>
          <w:rFonts w:hint="default" w:ascii="Times New Roman" w:hAnsi="Times New Roman" w:cs="Times New Roman"/>
          <w:b/>
        </w:rPr>
      </w:pPr>
      <w:r>
        <w:rPr>
          <w:rFonts w:hint="default" w:ascii="Times New Roman" w:hAnsi="Times New Roman" w:cs="Times New Roman"/>
          <w:b/>
          <w:snapToGrid w:val="0"/>
          <w:kern w:val="0"/>
          <w:sz w:val="24"/>
        </w:rPr>
        <w:t>具体工程量清单</w:t>
      </w:r>
    </w:p>
    <w:tbl>
      <w:tblPr>
        <w:tblStyle w:val="15"/>
        <w:tblW w:w="73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2"/>
        <w:gridCol w:w="1794"/>
        <w:gridCol w:w="1232"/>
        <w:gridCol w:w="762"/>
        <w:gridCol w:w="930"/>
        <w:gridCol w:w="14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122" w:type="dxa"/>
            <w:shd w:val="clear" w:color="auto" w:fill="auto"/>
            <w:vAlign w:val="center"/>
          </w:tcPr>
          <w:p>
            <w:pPr>
              <w:spacing w:line="240" w:lineRule="auto"/>
              <w:jc w:val="center"/>
              <w:rPr>
                <w:rFonts w:hint="default" w:ascii="Times New Roman" w:hAnsi="Times New Roman" w:cs="Times New Roman"/>
                <w:szCs w:val="21"/>
              </w:rPr>
            </w:pPr>
            <w:r>
              <w:rPr>
                <w:rFonts w:hint="default" w:ascii="Times New Roman" w:hAnsi="Times New Roman" w:cs="Times New Roman"/>
                <w:szCs w:val="21"/>
              </w:rPr>
              <w:t>序号</w:t>
            </w:r>
          </w:p>
        </w:tc>
        <w:tc>
          <w:tcPr>
            <w:tcW w:w="1794" w:type="dxa"/>
            <w:shd w:val="clear" w:color="auto" w:fill="auto"/>
            <w:vAlign w:val="center"/>
          </w:tcPr>
          <w:p>
            <w:pPr>
              <w:spacing w:line="240" w:lineRule="auto"/>
              <w:jc w:val="center"/>
              <w:rPr>
                <w:rFonts w:hint="default" w:ascii="Times New Roman" w:hAnsi="Times New Roman" w:cs="Times New Roman"/>
                <w:szCs w:val="21"/>
              </w:rPr>
            </w:pPr>
            <w:r>
              <w:rPr>
                <w:rFonts w:hint="default" w:ascii="Times New Roman" w:hAnsi="Times New Roman" w:cs="Times New Roman"/>
                <w:szCs w:val="21"/>
                <w:lang w:eastAsia="zh-CN"/>
              </w:rPr>
              <w:t>设备</w:t>
            </w:r>
            <w:r>
              <w:rPr>
                <w:rFonts w:hint="default" w:ascii="Times New Roman" w:hAnsi="Times New Roman" w:cs="Times New Roman"/>
                <w:szCs w:val="21"/>
              </w:rPr>
              <w:t>名称</w:t>
            </w:r>
          </w:p>
        </w:tc>
        <w:tc>
          <w:tcPr>
            <w:tcW w:w="1232" w:type="dxa"/>
            <w:shd w:val="clear" w:color="auto" w:fill="auto"/>
            <w:vAlign w:val="center"/>
          </w:tcPr>
          <w:p>
            <w:pPr>
              <w:spacing w:line="240" w:lineRule="auto"/>
              <w:jc w:val="center"/>
              <w:rPr>
                <w:rFonts w:hint="default" w:ascii="Times New Roman" w:hAnsi="Times New Roman" w:cs="Times New Roman"/>
                <w:szCs w:val="21"/>
              </w:rPr>
            </w:pPr>
            <w:r>
              <w:rPr>
                <w:rFonts w:hint="default" w:ascii="Times New Roman" w:hAnsi="Times New Roman" w:cs="Times New Roman"/>
                <w:szCs w:val="21"/>
              </w:rPr>
              <w:t>品牌/型号</w:t>
            </w:r>
          </w:p>
        </w:tc>
        <w:tc>
          <w:tcPr>
            <w:tcW w:w="762" w:type="dxa"/>
            <w:shd w:val="clear" w:color="auto" w:fill="auto"/>
            <w:vAlign w:val="center"/>
          </w:tcPr>
          <w:p>
            <w:pPr>
              <w:spacing w:line="240" w:lineRule="auto"/>
              <w:jc w:val="center"/>
              <w:rPr>
                <w:rFonts w:hint="default" w:ascii="Times New Roman" w:hAnsi="Times New Roman" w:cs="Times New Roman"/>
                <w:szCs w:val="21"/>
              </w:rPr>
            </w:pPr>
            <w:r>
              <w:rPr>
                <w:rFonts w:hint="default" w:ascii="Times New Roman" w:hAnsi="Times New Roman" w:cs="Times New Roman"/>
                <w:szCs w:val="21"/>
              </w:rPr>
              <w:t>单位</w:t>
            </w:r>
          </w:p>
        </w:tc>
        <w:tc>
          <w:tcPr>
            <w:tcW w:w="930" w:type="dxa"/>
            <w:shd w:val="clear" w:color="auto" w:fill="auto"/>
            <w:vAlign w:val="center"/>
          </w:tcPr>
          <w:p>
            <w:pPr>
              <w:spacing w:line="240" w:lineRule="auto"/>
              <w:jc w:val="center"/>
              <w:rPr>
                <w:rFonts w:hint="default" w:ascii="Times New Roman" w:hAnsi="Times New Roman" w:cs="Times New Roman"/>
                <w:szCs w:val="21"/>
              </w:rPr>
            </w:pPr>
            <w:r>
              <w:rPr>
                <w:rFonts w:hint="default" w:ascii="Times New Roman" w:hAnsi="Times New Roman" w:cs="Times New Roman"/>
                <w:szCs w:val="21"/>
              </w:rPr>
              <w:t>数量</w:t>
            </w:r>
          </w:p>
        </w:tc>
        <w:tc>
          <w:tcPr>
            <w:tcW w:w="1473" w:type="dxa"/>
            <w:shd w:val="clear" w:color="auto" w:fill="auto"/>
            <w:vAlign w:val="center"/>
          </w:tcPr>
          <w:p>
            <w:pPr>
              <w:spacing w:line="240" w:lineRule="auto"/>
              <w:jc w:val="center"/>
              <w:rPr>
                <w:rFonts w:hint="default" w:ascii="Times New Roman" w:hAnsi="Times New Roman" w:cs="Times New Roman"/>
                <w:szCs w:val="21"/>
              </w:rPr>
            </w:pPr>
            <w:r>
              <w:rPr>
                <w:rFonts w:hint="default" w:ascii="Times New Roman" w:hAnsi="Times New Roman" w:cs="Times New Roman"/>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22"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Cs w:val="21"/>
                <w:lang w:val="en-US" w:eastAsia="zh-CN"/>
              </w:rPr>
              <w:t>802-3-16</w:t>
            </w:r>
          </w:p>
        </w:tc>
        <w:tc>
          <w:tcPr>
            <w:tcW w:w="1794"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Cs w:val="21"/>
                <w:lang w:val="en-US" w:eastAsia="zh-CN"/>
              </w:rPr>
              <w:t>车道工控机（含显示器）</w:t>
            </w:r>
          </w:p>
        </w:tc>
        <w:tc>
          <w:tcPr>
            <w:tcW w:w="1232"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c>
          <w:tcPr>
            <w:tcW w:w="762" w:type="dxa"/>
            <w:shd w:val="clear" w:color="auto" w:fill="auto"/>
            <w:vAlign w:val="center"/>
          </w:tcPr>
          <w:p>
            <w:pPr>
              <w:keepNext w:val="0"/>
              <w:keepLines w:val="0"/>
              <w:widowControl/>
              <w:suppressLineNumbers w:val="0"/>
              <w:jc w:val="center"/>
              <w:textAlignment w:val="center"/>
              <w:rPr>
                <w:rFonts w:hint="default" w:ascii="Times New Roman" w:hAnsi="Times New Roman" w:cs="Times New Roman" w:eastAsiaTheme="minorEastAsia"/>
                <w:sz w:val="18"/>
                <w:szCs w:val="18"/>
                <w:lang w:val="en-US" w:eastAsia="zh-CN"/>
              </w:rPr>
            </w:pPr>
            <w:r>
              <w:rPr>
                <w:rFonts w:hint="default" w:ascii="Times New Roman" w:hAnsi="Times New Roman" w:eastAsia="宋体" w:cs="Times New Roman"/>
                <w:i w:val="0"/>
                <w:iCs w:val="0"/>
                <w:color w:val="000000"/>
                <w:kern w:val="0"/>
                <w:sz w:val="22"/>
                <w:szCs w:val="22"/>
                <w:u w:val="none"/>
                <w:lang w:val="en-US" w:eastAsia="zh-CN" w:bidi="ar"/>
              </w:rPr>
              <w:t>台</w:t>
            </w:r>
          </w:p>
        </w:tc>
        <w:tc>
          <w:tcPr>
            <w:tcW w:w="930" w:type="dxa"/>
            <w:shd w:val="clear" w:color="auto" w:fill="auto"/>
            <w:vAlign w:val="center"/>
          </w:tcPr>
          <w:p>
            <w:pPr>
              <w:keepNext w:val="0"/>
              <w:keepLines w:val="0"/>
              <w:widowControl/>
              <w:suppressLineNumbers w:val="0"/>
              <w:jc w:val="center"/>
              <w:textAlignment w:val="center"/>
              <w:rPr>
                <w:rFonts w:hint="default" w:ascii="Times New Roman" w:hAnsi="Times New Roman" w:cs="Times New Roman" w:eastAsiaTheme="minorEastAsia"/>
                <w:sz w:val="18"/>
                <w:szCs w:val="18"/>
                <w:lang w:val="en-US" w:eastAsia="zh-CN"/>
              </w:rPr>
            </w:pPr>
            <w:r>
              <w:rPr>
                <w:rFonts w:hint="default" w:ascii="Times New Roman" w:hAnsi="Times New Roman" w:eastAsia="宋体" w:cs="Times New Roman"/>
                <w:i w:val="0"/>
                <w:iCs w:val="0"/>
                <w:color w:val="000000"/>
                <w:kern w:val="0"/>
                <w:sz w:val="22"/>
                <w:szCs w:val="22"/>
                <w:u w:val="none"/>
                <w:lang w:val="en-US" w:eastAsia="zh-CN" w:bidi="ar"/>
              </w:rPr>
              <w:t>32</w:t>
            </w:r>
          </w:p>
        </w:tc>
        <w:tc>
          <w:tcPr>
            <w:tcW w:w="1473" w:type="dxa"/>
            <w:shd w:val="clear" w:color="auto" w:fill="auto"/>
            <w:vAlign w:val="center"/>
          </w:tcPr>
          <w:p>
            <w:pPr>
              <w:keepNext w:val="0"/>
              <w:keepLines w:val="0"/>
              <w:widowControl/>
              <w:suppressLineNumbers w:val="0"/>
              <w:jc w:val="center"/>
              <w:textAlignment w:val="center"/>
              <w:rPr>
                <w:rFonts w:hint="default" w:ascii="Times New Roman" w:hAnsi="Times New Roman" w:cs="Times New Roman" w:eastAsiaTheme="minorEastAsia"/>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22" w:type="dxa"/>
            <w:shd w:val="clear" w:color="auto" w:fill="auto"/>
            <w:vAlign w:val="center"/>
          </w:tcPr>
          <w:p>
            <w:pPr>
              <w:spacing w:beforeLines="50" w:afterLines="50" w:line="240" w:lineRule="auto"/>
              <w:jc w:val="center"/>
              <w:rPr>
                <w:rFonts w:hint="default" w:ascii="Times New Roman" w:hAnsi="Times New Roman" w:eastAsia="宋体" w:cs="Times New Roman"/>
                <w:i w:val="0"/>
                <w:iCs w:val="0"/>
                <w:color w:val="000000"/>
                <w:kern w:val="0"/>
                <w:sz w:val="18"/>
                <w:szCs w:val="18"/>
                <w:u w:val="none"/>
                <w:lang w:val="en-US" w:eastAsia="zh-CN" w:bidi="ar"/>
              </w:rPr>
            </w:pPr>
          </w:p>
        </w:tc>
        <w:tc>
          <w:tcPr>
            <w:tcW w:w="1794" w:type="dxa"/>
            <w:shd w:val="clear" w:color="auto" w:fill="auto"/>
            <w:vAlign w:val="center"/>
          </w:tcPr>
          <w:p>
            <w:pPr>
              <w:spacing w:beforeLines="50" w:afterLines="50" w:line="240" w:lineRule="auto"/>
              <w:jc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eastAsiaTheme="minorEastAsia"/>
                <w:szCs w:val="21"/>
                <w:lang w:val="en-US" w:eastAsia="zh-CN"/>
              </w:rPr>
              <w:t>专业键盘</w:t>
            </w:r>
          </w:p>
        </w:tc>
        <w:tc>
          <w:tcPr>
            <w:tcW w:w="1232" w:type="dxa"/>
            <w:shd w:val="clear" w:color="auto" w:fill="auto"/>
            <w:vAlign w:val="center"/>
          </w:tcPr>
          <w:p>
            <w:pPr>
              <w:spacing w:beforeLines="50" w:afterLines="50" w:line="240" w:lineRule="auto"/>
              <w:jc w:val="center"/>
              <w:rPr>
                <w:rFonts w:hint="default" w:ascii="Times New Roman" w:hAnsi="Times New Roman" w:eastAsia="宋体" w:cs="Times New Roman"/>
                <w:b w:val="0"/>
                <w:bCs w:val="0"/>
                <w:kern w:val="2"/>
                <w:sz w:val="18"/>
                <w:szCs w:val="18"/>
                <w:lang w:val="en-US" w:eastAsia="zh-CN" w:bidi="ar-SA"/>
              </w:rPr>
            </w:pPr>
          </w:p>
        </w:tc>
        <w:tc>
          <w:tcPr>
            <w:tcW w:w="762"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cs="Times New Roman" w:eastAsiaTheme="minorEastAsia"/>
                <w:szCs w:val="21"/>
                <w:lang w:val="en-US" w:eastAsia="zh-CN"/>
              </w:rPr>
              <w:t>台</w:t>
            </w:r>
          </w:p>
        </w:tc>
        <w:tc>
          <w:tcPr>
            <w:tcW w:w="93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cs="Times New Roman" w:eastAsiaTheme="minorEastAsia"/>
                <w:szCs w:val="21"/>
                <w:lang w:val="en-US" w:eastAsia="zh-CN"/>
              </w:rPr>
              <w:t>18</w:t>
            </w:r>
          </w:p>
        </w:tc>
        <w:tc>
          <w:tcPr>
            <w:tcW w:w="1473" w:type="dxa"/>
            <w:shd w:val="clear" w:color="auto" w:fill="auto"/>
            <w:vAlign w:val="center"/>
          </w:tcPr>
          <w:p>
            <w:pPr>
              <w:keepNext w:val="0"/>
              <w:keepLines w:val="0"/>
              <w:widowControl/>
              <w:suppressLineNumbers w:val="0"/>
              <w:jc w:val="center"/>
              <w:textAlignment w:val="center"/>
              <w:rPr>
                <w:rFonts w:hint="default" w:ascii="Times New Roman" w:hAnsi="Times New Roman" w:cs="Times New Roman" w:eastAsiaTheme="minorEastAsia"/>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22" w:type="dxa"/>
            <w:shd w:val="clear" w:color="auto" w:fill="auto"/>
            <w:vAlign w:val="center"/>
          </w:tcPr>
          <w:p>
            <w:pPr>
              <w:jc w:val="center"/>
              <w:rPr>
                <w:rFonts w:hint="default" w:ascii="Times New Roman" w:hAnsi="Times New Roman" w:eastAsia="宋体" w:cs="Times New Roman"/>
                <w:i w:val="0"/>
                <w:iCs w:val="0"/>
                <w:color w:val="000000"/>
                <w:kern w:val="0"/>
                <w:sz w:val="18"/>
                <w:szCs w:val="18"/>
                <w:u w:val="none"/>
                <w:lang w:val="en-US" w:eastAsia="zh-CN" w:bidi="ar"/>
              </w:rPr>
            </w:pPr>
          </w:p>
        </w:tc>
        <w:tc>
          <w:tcPr>
            <w:tcW w:w="1794"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eastAsiaTheme="minorEastAsia"/>
                <w:szCs w:val="21"/>
                <w:lang w:val="en-US" w:eastAsia="zh-CN"/>
              </w:rPr>
              <w:t>普通键盘</w:t>
            </w:r>
          </w:p>
        </w:tc>
        <w:tc>
          <w:tcPr>
            <w:tcW w:w="1232"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kern w:val="2"/>
                <w:sz w:val="18"/>
                <w:szCs w:val="18"/>
                <w:lang w:val="en-US" w:eastAsia="zh-CN" w:bidi="ar-SA"/>
              </w:rPr>
            </w:pPr>
          </w:p>
        </w:tc>
        <w:tc>
          <w:tcPr>
            <w:tcW w:w="762"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cs="Times New Roman" w:eastAsiaTheme="minorEastAsia"/>
                <w:szCs w:val="21"/>
                <w:lang w:val="en-US" w:eastAsia="zh-CN"/>
              </w:rPr>
              <w:t>台</w:t>
            </w:r>
          </w:p>
        </w:tc>
        <w:tc>
          <w:tcPr>
            <w:tcW w:w="93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cs="Times New Roman" w:eastAsiaTheme="minorEastAsia"/>
                <w:szCs w:val="21"/>
                <w:lang w:val="en-US" w:eastAsia="zh-CN"/>
              </w:rPr>
              <w:t>14</w:t>
            </w:r>
          </w:p>
        </w:tc>
        <w:tc>
          <w:tcPr>
            <w:tcW w:w="1473" w:type="dxa"/>
            <w:shd w:val="clear" w:color="auto" w:fill="auto"/>
            <w:vAlign w:val="center"/>
          </w:tcPr>
          <w:p>
            <w:pPr>
              <w:keepNext w:val="0"/>
              <w:keepLines w:val="0"/>
              <w:widowControl/>
              <w:suppressLineNumbers w:val="0"/>
              <w:jc w:val="center"/>
              <w:textAlignment w:val="center"/>
              <w:rPr>
                <w:rFonts w:hint="default" w:ascii="Times New Roman" w:hAnsi="Times New Roman" w:cs="Times New Roman" w:eastAsiaTheme="minorEastAsia"/>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22" w:type="dxa"/>
            <w:shd w:val="clear" w:color="auto" w:fill="auto"/>
            <w:vAlign w:val="center"/>
          </w:tcPr>
          <w:p>
            <w:pPr>
              <w:spacing w:beforeLines="50" w:afterLines="50" w:line="240" w:lineRule="auto"/>
              <w:jc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eastAsiaTheme="minorEastAsia"/>
                <w:szCs w:val="21"/>
                <w:lang w:val="en-US" w:eastAsia="zh-CN"/>
              </w:rPr>
              <w:t>805-1-1-2</w:t>
            </w:r>
          </w:p>
        </w:tc>
        <w:tc>
          <w:tcPr>
            <w:tcW w:w="1794" w:type="dxa"/>
            <w:shd w:val="clear" w:color="auto" w:fill="auto"/>
            <w:vAlign w:val="center"/>
          </w:tcPr>
          <w:p>
            <w:pPr>
              <w:spacing w:beforeLines="50" w:afterLines="50" w:line="240" w:lineRule="auto"/>
              <w:jc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eastAsiaTheme="minorEastAsia"/>
                <w:szCs w:val="21"/>
                <w:lang w:val="en-US" w:eastAsia="zh-CN"/>
              </w:rPr>
              <w:t>工控机操作系统</w:t>
            </w:r>
          </w:p>
        </w:tc>
        <w:tc>
          <w:tcPr>
            <w:tcW w:w="1232" w:type="dxa"/>
            <w:shd w:val="clear" w:color="auto" w:fill="auto"/>
            <w:vAlign w:val="center"/>
          </w:tcPr>
          <w:p>
            <w:pPr>
              <w:spacing w:beforeLines="50" w:afterLines="50" w:line="240" w:lineRule="auto"/>
              <w:jc w:val="center"/>
              <w:rPr>
                <w:rFonts w:hint="default" w:ascii="Times New Roman" w:hAnsi="Times New Roman" w:eastAsia="宋体" w:cs="Times New Roman"/>
                <w:b w:val="0"/>
                <w:bCs w:val="0"/>
                <w:kern w:val="2"/>
                <w:sz w:val="18"/>
                <w:szCs w:val="18"/>
                <w:lang w:val="en-US" w:eastAsia="zh-CN" w:bidi="ar-SA"/>
              </w:rPr>
            </w:pPr>
          </w:p>
        </w:tc>
        <w:tc>
          <w:tcPr>
            <w:tcW w:w="762" w:type="dxa"/>
            <w:shd w:val="clear" w:color="auto" w:fill="auto"/>
            <w:vAlign w:val="center"/>
          </w:tcPr>
          <w:p>
            <w:pPr>
              <w:spacing w:beforeLines="50" w:afterLines="50" w:line="240" w:lineRule="auto"/>
              <w:jc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eastAsiaTheme="minorEastAsia"/>
                <w:szCs w:val="21"/>
                <w:lang w:val="en-US" w:eastAsia="zh-CN"/>
              </w:rPr>
              <w:t>套</w:t>
            </w:r>
          </w:p>
        </w:tc>
        <w:tc>
          <w:tcPr>
            <w:tcW w:w="93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32</w:t>
            </w:r>
          </w:p>
        </w:tc>
        <w:tc>
          <w:tcPr>
            <w:tcW w:w="1473" w:type="dxa"/>
            <w:shd w:val="clear" w:color="auto" w:fill="auto"/>
            <w:vAlign w:val="center"/>
          </w:tcPr>
          <w:p>
            <w:pPr>
              <w:keepNext w:val="0"/>
              <w:keepLines w:val="0"/>
              <w:widowControl/>
              <w:suppressLineNumbers w:val="0"/>
              <w:jc w:val="center"/>
              <w:textAlignment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Cs w:val="21"/>
                <w:lang w:val="en-US" w:eastAsia="zh-CN"/>
              </w:rPr>
              <w:t>win10 22h2</w:t>
            </w:r>
          </w:p>
        </w:tc>
      </w:tr>
    </w:tbl>
    <w:p>
      <w:pPr>
        <w:wordWrap w:val="0"/>
        <w:topLinePunct/>
        <w:spacing w:line="360" w:lineRule="auto"/>
        <w:ind w:firstLine="566" w:firstLineChars="236"/>
        <w:rPr>
          <w:rFonts w:hint="default" w:ascii="Times New Roman" w:hAnsi="Times New Roman" w:cs="Times New Roman"/>
          <w:bCs/>
          <w:snapToGrid w:val="0"/>
          <w:kern w:val="0"/>
          <w:sz w:val="24"/>
        </w:rPr>
      </w:pPr>
      <w:r>
        <w:rPr>
          <w:rFonts w:hint="default" w:ascii="Times New Roman" w:hAnsi="Times New Roman" w:cs="Times New Roman"/>
          <w:bCs/>
          <w:snapToGrid w:val="0"/>
          <w:kern w:val="0"/>
          <w:sz w:val="24"/>
        </w:rPr>
        <w:t>清单说明：</w:t>
      </w:r>
    </w:p>
    <w:p>
      <w:pPr>
        <w:numPr>
          <w:ilvl w:val="0"/>
          <w:numId w:val="4"/>
        </w:numPr>
        <w:wordWrap w:val="0"/>
        <w:topLinePunct/>
        <w:spacing w:line="360" w:lineRule="auto"/>
        <w:ind w:firstLine="566" w:firstLineChars="236"/>
        <w:rPr>
          <w:rFonts w:hint="default" w:ascii="Times New Roman" w:hAnsi="Times New Roman" w:cs="Times New Roman"/>
        </w:rPr>
      </w:pPr>
      <w:r>
        <w:rPr>
          <w:rFonts w:hint="default" w:ascii="Times New Roman" w:hAnsi="Times New Roman" w:cs="Times New Roman"/>
          <w:bCs/>
          <w:snapToGrid w:val="0"/>
          <w:kern w:val="0"/>
          <w:sz w:val="24"/>
        </w:rPr>
        <w:t>包括运输、</w:t>
      </w:r>
      <w:r>
        <w:rPr>
          <w:rFonts w:hint="default" w:ascii="Times New Roman" w:hAnsi="Times New Roman" w:cs="Times New Roman"/>
          <w:bCs/>
          <w:snapToGrid w:val="0"/>
          <w:kern w:val="0"/>
          <w:sz w:val="24"/>
          <w:lang w:val="en-US" w:eastAsia="zh-CN"/>
        </w:rPr>
        <w:t>指导安装调试费、</w:t>
      </w:r>
      <w:r>
        <w:rPr>
          <w:rFonts w:hint="default" w:ascii="Times New Roman" w:hAnsi="Times New Roman" w:cs="Times New Roman"/>
          <w:bCs/>
          <w:snapToGrid w:val="0"/>
          <w:kern w:val="0"/>
          <w:sz w:val="24"/>
        </w:rPr>
        <w:t>保险费、税费、试运行及缺陷的维护等一切费用；</w:t>
      </w:r>
    </w:p>
    <w:p>
      <w:pPr>
        <w:pStyle w:val="8"/>
        <w:numPr>
          <w:ilvl w:val="0"/>
          <w:numId w:val="4"/>
        </w:numPr>
        <w:ind w:firstLine="566" w:firstLineChars="236"/>
        <w:rPr>
          <w:rFonts w:hint="default" w:ascii="Times New Roman" w:hAnsi="Times New Roman" w:cs="Times New Roman"/>
          <w:bCs/>
          <w:snapToGrid w:val="0"/>
          <w:kern w:val="0"/>
          <w:sz w:val="24"/>
        </w:rPr>
      </w:pPr>
      <w:r>
        <w:rPr>
          <w:rFonts w:hint="default" w:ascii="Times New Roman" w:hAnsi="Times New Roman" w:cs="Times New Roman"/>
          <w:bCs/>
          <w:snapToGrid w:val="0"/>
          <w:kern w:val="0"/>
          <w:sz w:val="24"/>
        </w:rPr>
        <w:t>质保期：两年；</w:t>
      </w:r>
    </w:p>
    <w:p>
      <w:pPr>
        <w:pStyle w:val="8"/>
        <w:numPr>
          <w:ilvl w:val="0"/>
          <w:numId w:val="4"/>
        </w:numPr>
        <w:ind w:firstLine="566" w:firstLineChars="236"/>
        <w:rPr>
          <w:rFonts w:hint="default" w:ascii="Times New Roman" w:hAnsi="Times New Roman" w:cs="Times New Roman"/>
          <w:bCs/>
          <w:snapToGrid w:val="0"/>
          <w:kern w:val="0"/>
          <w:sz w:val="24"/>
        </w:rPr>
      </w:pPr>
      <w:r>
        <w:rPr>
          <w:rFonts w:hint="default" w:ascii="Times New Roman" w:hAnsi="Times New Roman" w:cs="Times New Roman"/>
          <w:bCs/>
          <w:snapToGrid w:val="0"/>
          <w:kern w:val="0"/>
          <w:sz w:val="24"/>
        </w:rPr>
        <w:t>最高限价：</w:t>
      </w:r>
      <w:r>
        <w:rPr>
          <w:rFonts w:hint="eastAsia" w:cs="Times New Roman"/>
          <w:bCs/>
          <w:snapToGrid w:val="0"/>
          <w:kern w:val="0"/>
          <w:sz w:val="24"/>
          <w:lang w:val="en-US" w:eastAsia="zh-CN"/>
        </w:rPr>
        <w:t>378960</w:t>
      </w:r>
      <w:r>
        <w:rPr>
          <w:rFonts w:hint="default" w:ascii="Times New Roman" w:hAnsi="Times New Roman" w:cs="Times New Roman"/>
          <w:bCs/>
          <w:snapToGrid w:val="0"/>
          <w:color w:val="auto"/>
          <w:kern w:val="0"/>
          <w:sz w:val="24"/>
        </w:rPr>
        <w:t>.00</w:t>
      </w:r>
      <w:r>
        <w:rPr>
          <w:rFonts w:hint="default" w:ascii="Times New Roman" w:hAnsi="Times New Roman" w:cs="Times New Roman"/>
          <w:bCs/>
          <w:snapToGrid w:val="0"/>
          <w:kern w:val="0"/>
          <w:sz w:val="24"/>
        </w:rPr>
        <w:t>元。</w:t>
      </w:r>
    </w:p>
    <w:p>
      <w:pPr>
        <w:numPr>
          <w:ilvl w:val="0"/>
          <w:numId w:val="3"/>
        </w:numPr>
        <w:topLinePunct/>
        <w:spacing w:line="360" w:lineRule="auto"/>
        <w:outlineLvl w:val="1"/>
        <w:rPr>
          <w:rFonts w:hint="default" w:ascii="Times New Roman" w:hAnsi="Times New Roman" w:cs="Times New Roman"/>
          <w:b/>
          <w:snapToGrid w:val="0"/>
          <w:kern w:val="0"/>
          <w:sz w:val="24"/>
        </w:rPr>
      </w:pPr>
      <w:r>
        <w:rPr>
          <w:rFonts w:hint="default" w:ascii="Times New Roman" w:hAnsi="Times New Roman" w:cs="Times New Roman"/>
          <w:b/>
          <w:snapToGrid w:val="0"/>
          <w:kern w:val="0"/>
          <w:sz w:val="24"/>
        </w:rPr>
        <w:t>技术要求</w:t>
      </w:r>
    </w:p>
    <w:p>
      <w:pPr>
        <w:pStyle w:val="5"/>
        <w:numPr>
          <w:ilvl w:val="2"/>
          <w:numId w:val="0"/>
        </w:numPr>
        <w:spacing w:line="240" w:lineRule="auto"/>
        <w:ind w:left="142" w:leftChars="0"/>
        <w:rPr>
          <w:rFonts w:hint="default" w:ascii="Times New Roman" w:hAnsi="Times New Roman" w:eastAsia="宋体" w:cs="Times New Roman"/>
          <w:color w:val="auto"/>
          <w:sz w:val="21"/>
          <w:szCs w:val="21"/>
          <w:highlight w:val="none"/>
        </w:rPr>
      </w:pPr>
      <w:bookmarkStart w:id="0" w:name="_Toc28641"/>
      <w:r>
        <w:rPr>
          <w:rFonts w:hint="default" w:ascii="Times New Roman" w:hAnsi="Times New Roman" w:eastAsia="宋体" w:cs="Times New Roman"/>
          <w:color w:val="auto"/>
          <w:sz w:val="21"/>
          <w:szCs w:val="21"/>
          <w:highlight w:val="none"/>
        </w:rPr>
        <w:t>802-3-1 车道控制器</w:t>
      </w:r>
      <w:bookmarkEnd w:id="0"/>
    </w:p>
    <w:p>
      <w:pPr>
        <w:numPr>
          <w:ilvl w:val="0"/>
          <w:numId w:val="5"/>
        </w:numPr>
        <w:spacing w:line="240" w:lineRule="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功能要求</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满足《取消高速公路省界收费站总体技术方案》、DB 44/T 1793-2016《广东省高速公路联网收费系统》中对出入口人工收费车道功能的要求。车道计算机、车道控制器等设备，通过安装于车道计算机上的收费车道软件实现获取、处理、上传和本机存储车辆通行信息，计算并收取通行费，查看车道监视视频及对本车到各设备的操作。</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业级CPU母板或子板布局，充分电磁兼容设计，低功耗，全面故障自我诊断能力及报警提示。支持远程开关机，远程监测CPU温度、使用率等设备运行状态，并支持发现系统异常通过短信/电子邮件的方式等方式自动报警。</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要求安装vnc远程控制软件，可在管理中心对车道计算机内安装的收费等软件进行统一的远程调试等工作。</w:t>
      </w:r>
    </w:p>
    <w:p>
      <w:pPr>
        <w:numPr>
          <w:ilvl w:val="0"/>
          <w:numId w:val="5"/>
        </w:numPr>
        <w:spacing w:line="240" w:lineRule="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主要技术指标</w:t>
      </w:r>
    </w:p>
    <w:p>
      <w:pPr>
        <w:numPr>
          <w:ilvl w:val="0"/>
          <w:numId w:val="7"/>
        </w:numPr>
        <w:spacing w:line="240" w:lineRule="auto"/>
        <w:ind w:left="993" w:hanging="567"/>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车道控制器</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至少8路控制输出，支持数字电压输出和开关信号输出。</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至少8路检测输入，支持数字电压输入和开关信号输入。</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所有I/O必须具备隔离功能，可为光耦隔离或继电器隔离，保护以减少雷电及高能浪涌的冲击。</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支持语音报读功能。</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对于自动栏杆控制，支持防砸车功能，且该功能是自身独立完成的，即在没有上位机的车道软件的情况下，也能具备防砸车功能。</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支持RS232标准通讯接口。</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具有故障检测和反馈功能。</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设备具有唯一标识码，通过通讯接口，该唯一设备编码可软件读取。</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电源控制：车道控制器需对总电源和车道计算机等各独立设备电源分别控制，并做抗干扰处理。</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机箱：1.5mm厚304不锈钢材料制作，正面（和背面）开门，便于安装和内部维修。门框和进线孔加密封橡胶垫圈不设通风孔，保证机箱防水、防尘。</w:t>
      </w:r>
    </w:p>
    <w:p>
      <w:pPr>
        <w:numPr>
          <w:ilvl w:val="0"/>
          <w:numId w:val="7"/>
        </w:numPr>
        <w:spacing w:line="240" w:lineRule="auto"/>
        <w:ind w:left="993" w:hanging="567"/>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附件</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包含供电电缆，内置电源适配器，对车道供电端子配置电源避雷器。</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车道控制器信号电缆配置信号避雷器。</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具备接地端子，可以亭内接地汇流排连接，电阻小于1Ω。</w:t>
      </w:r>
    </w:p>
    <w:p>
      <w:pPr>
        <w:pStyle w:val="5"/>
        <w:numPr>
          <w:ilvl w:val="2"/>
          <w:numId w:val="0"/>
        </w:numPr>
        <w:spacing w:line="240" w:lineRule="auto"/>
        <w:ind w:left="142" w:leftChars="0"/>
        <w:rPr>
          <w:rFonts w:hint="default" w:ascii="Times New Roman" w:hAnsi="Times New Roman" w:eastAsia="宋体" w:cs="Times New Roman"/>
          <w:color w:val="auto"/>
          <w:sz w:val="21"/>
          <w:szCs w:val="21"/>
          <w:highlight w:val="none"/>
        </w:rPr>
      </w:pPr>
      <w:bookmarkStart w:id="1" w:name="_Toc19982"/>
      <w:r>
        <w:rPr>
          <w:rFonts w:hint="default" w:ascii="Times New Roman" w:hAnsi="Times New Roman" w:eastAsia="宋体" w:cs="Times New Roman"/>
          <w:color w:val="auto"/>
          <w:sz w:val="21"/>
          <w:szCs w:val="21"/>
          <w:highlight w:val="none"/>
        </w:rPr>
        <w:t>802-3-1</w:t>
      </w:r>
      <w:r>
        <w:rPr>
          <w:rFonts w:hint="default"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rPr>
        <w:t xml:space="preserve"> 车道工控机（含键盘、显示器）</w:t>
      </w:r>
      <w:bookmarkEnd w:id="1"/>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符合GB/T24968的要求；</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CPU：双核2.7GHz/四核1.9GHz或同等运算能力及以上；</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内存：16GB及以上；硬盘存储：容量≥1T，含500GB以上固态硬盘；</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显示支持：支持VGA、HDMI等输出；</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串行接口：6路接口及以上；并行接口：1路LPT接口；</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视频采集卡：支持高清视频、模拟视频；</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USB接口：至少6路USB3.0；</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网络端口：≥3个以太网接口。</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至少16路具有对外围设备驱动能力的数字量I/O板；</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所有接口板和功能板附有光电隔离保护以减少雷电及高能浪涌的冲击。MTBF：&gt;50,000小时。</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整机散热：满足使用环境条件，在非空调环境下宜选用嵌入式无风扇工业级主机。</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含显示器</w:t>
      </w:r>
    </w:p>
    <w:p>
      <w:pPr>
        <w:spacing w:line="240" w:lineRule="auto"/>
        <w:ind w:left="42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显示器</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所有的显示和指示应在周围照明条件下清晰可见，收费员能容易地调节屏幕的对比度、亮度、色彩等设置。</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设置调节菜单应为简体中文显示。</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支持通用标准支架安装。</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19″彩色液晶显示器。</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1280×1024及以上分辨率。</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对比度1000：1以上。</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亮度500cd/m²以上。</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可视角度±170°。</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抗静电、低辐射型。</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抗电磁干扰、图像稳定。</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MTBF：&gt;15,000小时。</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MTTR：&lt;0.5小时。</w:t>
      </w:r>
    </w:p>
    <w:p>
      <w:pPr>
        <w:numPr>
          <w:ilvl w:val="0"/>
          <w:numId w:val="6"/>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支持VGA、DVI接口。</w:t>
      </w:r>
    </w:p>
    <w:p>
      <w:pPr>
        <w:pStyle w:val="2"/>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包含供电线缆和信号线缆，自带1根DVI线缆。</w:t>
      </w:r>
    </w:p>
    <w:p>
      <w:pPr>
        <w:pStyle w:val="5"/>
        <w:numPr>
          <w:ilvl w:val="2"/>
          <w:numId w:val="0"/>
        </w:numPr>
        <w:spacing w:line="240" w:lineRule="auto"/>
        <w:ind w:left="142" w:leftChars="0"/>
        <w:rPr>
          <w:rFonts w:hint="default" w:ascii="Times New Roman" w:hAnsi="Times New Roman" w:eastAsia="宋体" w:cs="Times New Roman"/>
          <w:color w:val="auto"/>
          <w:sz w:val="21"/>
          <w:szCs w:val="21"/>
          <w:highlight w:val="none"/>
        </w:rPr>
      </w:pPr>
      <w:bookmarkStart w:id="2" w:name="_Toc13963"/>
      <w:r>
        <w:rPr>
          <w:rFonts w:hint="default" w:ascii="Times New Roman" w:hAnsi="Times New Roman" w:eastAsia="宋体" w:cs="Times New Roman"/>
          <w:color w:val="auto"/>
          <w:sz w:val="21"/>
          <w:szCs w:val="21"/>
          <w:highlight w:val="none"/>
        </w:rPr>
        <w:t>805-1-1-2 工控机操作系统</w:t>
      </w:r>
      <w:bookmarkEnd w:id="2"/>
    </w:p>
    <w:p>
      <w:pPr>
        <w:numPr>
          <w:ilvl w:val="0"/>
          <w:numId w:val="6"/>
        </w:numPr>
        <w:shd w:val="clear" w:color="auto" w:fill="FFFFFF"/>
        <w:spacing w:line="240" w:lineRule="auto"/>
        <w:ind w:left="426" w:firstLine="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采用Windows 10专业版操作系统，符合国家相关部门要求。</w:t>
      </w:r>
    </w:p>
    <w:p>
      <w:pPr>
        <w:numPr>
          <w:ilvl w:val="0"/>
          <w:numId w:val="6"/>
        </w:numPr>
        <w:shd w:val="clear" w:color="auto" w:fill="FFFFFF"/>
        <w:spacing w:line="240" w:lineRule="auto"/>
        <w:ind w:left="426" w:firstLine="0"/>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color w:val="auto"/>
          <w:sz w:val="21"/>
          <w:szCs w:val="21"/>
          <w:highlight w:val="none"/>
        </w:rPr>
        <w:t>应具有多任务处理能力，提供多级系统容错能力。</w:t>
      </w:r>
    </w:p>
    <w:p>
      <w:pPr>
        <w:pStyle w:val="2"/>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设计图纸要求</w:t>
      </w:r>
    </w:p>
    <w:p>
      <w:pPr>
        <w:pStyle w:val="6"/>
        <w:numPr>
          <w:ilvl w:val="3"/>
          <w:numId w:val="0"/>
        </w:numPr>
        <w:spacing w:line="240" w:lineRule="auto"/>
        <w:ind w:firstLine="210" w:firstLineChars="100"/>
        <w:rPr>
          <w:rFonts w:hint="default" w:ascii="Times New Roman" w:hAnsi="Times New Roman" w:eastAsia="宋体" w:cs="Times New Roman"/>
          <w:sz w:val="21"/>
          <w:szCs w:val="21"/>
        </w:rPr>
      </w:pPr>
      <w:r>
        <w:rPr>
          <w:rFonts w:hint="default" w:ascii="Times New Roman" w:hAnsi="Times New Roman" w:eastAsia="宋体" w:cs="Times New Roman"/>
          <w:sz w:val="21"/>
          <w:szCs w:val="21"/>
          <w:lang w:eastAsia="zh-CN"/>
        </w:rPr>
        <w:t>3</w:t>
      </w:r>
      <w:r>
        <w:rPr>
          <w:rFonts w:hint="default" w:ascii="Times New Roman" w:hAnsi="Times New Roman" w:eastAsia="宋体" w:cs="Times New Roman"/>
          <w:sz w:val="21"/>
          <w:szCs w:val="21"/>
        </w:rPr>
        <w:t>.2 ETC车道工控机</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主要技术指标如下：</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符合 GB/T 24968 的要求；</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CPU：核心数：≥4核，总频率：3.2GHz 或同等运算能力及以上；</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内存：</w:t>
      </w:r>
      <w:r>
        <w:rPr>
          <w:rFonts w:hint="default" w:ascii="Times New Roman" w:hAnsi="Times New Roman" w:eastAsia="宋体" w:cs="Times New Roman"/>
          <w:sz w:val="21"/>
          <w:szCs w:val="21"/>
          <w:lang w:eastAsia="zh-CN"/>
        </w:rPr>
        <w:t>16</w:t>
      </w:r>
      <w:r>
        <w:rPr>
          <w:rFonts w:hint="default" w:ascii="Times New Roman" w:hAnsi="Times New Roman" w:eastAsia="宋体" w:cs="Times New Roman"/>
          <w:sz w:val="21"/>
          <w:szCs w:val="21"/>
        </w:rPr>
        <w:t>GB 及以上；</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硬盘存储：系统盘配置1块 ≥250GB SATA SSD，数据盘配置1块 ≥2TB SATA SSD；</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显示支持：支持 VGA 等输出；</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串行接口：6 路及以上RS232接口；</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USB 接口：至少4 路 USB3.0；</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网络端口：≥3 个千兆以太网口。</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所有接口板和功能板附有光电隔离保护以减少雷电及高能浪涌的冲击；</w:t>
      </w:r>
    </w:p>
    <w:p>
      <w:pPr>
        <w:numPr>
          <w:ilvl w:val="0"/>
          <w:numId w:val="0"/>
        </w:numPr>
        <w:topLinePunct/>
        <w:spacing w:line="240" w:lineRule="auto"/>
        <w:ind w:firstLine="840" w:firstLineChars="400"/>
        <w:outlineLvl w:val="1"/>
        <w:rPr>
          <w:rFonts w:hint="default" w:ascii="Times New Roman" w:hAnsi="Times New Roman" w:eastAsia="宋体" w:cs="Times New Roman"/>
          <w:b/>
          <w:snapToGrid w:val="0"/>
          <w:kern w:val="0"/>
          <w:sz w:val="21"/>
          <w:szCs w:val="21"/>
        </w:rPr>
      </w:pPr>
      <w:r>
        <w:rPr>
          <w:rFonts w:hint="default" w:ascii="Times New Roman" w:hAnsi="Times New Roman" w:eastAsia="宋体" w:cs="Times New Roman"/>
          <w:sz w:val="21"/>
          <w:szCs w:val="21"/>
        </w:rPr>
        <w:t>— MTBF：&gt;50,000 小时。</w:t>
      </w:r>
    </w:p>
    <w:p>
      <w:pPr>
        <w:numPr>
          <w:ilvl w:val="0"/>
          <w:numId w:val="3"/>
        </w:numPr>
        <w:topLinePunct/>
        <w:spacing w:line="360" w:lineRule="auto"/>
        <w:outlineLvl w:val="1"/>
        <w:rPr>
          <w:rFonts w:hint="default" w:ascii="Times New Roman" w:hAnsi="Times New Roman" w:cs="Times New Roman"/>
          <w:b/>
          <w:snapToGrid w:val="0"/>
          <w:kern w:val="0"/>
          <w:sz w:val="24"/>
        </w:rPr>
      </w:pPr>
      <w:r>
        <w:rPr>
          <w:rFonts w:hint="default" w:ascii="Times New Roman" w:hAnsi="Times New Roman" w:cs="Times New Roman"/>
          <w:b/>
          <w:snapToGrid w:val="0"/>
          <w:kern w:val="0"/>
          <w:sz w:val="24"/>
        </w:rPr>
        <w:t>供应商资格条件</w:t>
      </w:r>
    </w:p>
    <w:p>
      <w:pPr>
        <w:pStyle w:val="8"/>
        <w:ind w:firstLine="480"/>
        <w:rPr>
          <w:rFonts w:hint="default" w:ascii="Times New Roman" w:hAnsi="Times New Roman" w:cs="Times New Roman"/>
        </w:rPr>
      </w:pPr>
      <w:r>
        <w:rPr>
          <w:rFonts w:hint="default" w:ascii="Times New Roman" w:hAnsi="Times New Roman" w:cs="Times New Roman"/>
          <w:sz w:val="24"/>
        </w:rPr>
        <w:t>信用信誉良好，所供设备符合本工程量清单设备技术要求。</w:t>
      </w:r>
    </w:p>
    <w:p>
      <w:pPr>
        <w:numPr>
          <w:ilvl w:val="0"/>
          <w:numId w:val="3"/>
        </w:numPr>
        <w:topLinePunct/>
        <w:spacing w:line="360" w:lineRule="auto"/>
        <w:outlineLvl w:val="1"/>
        <w:rPr>
          <w:rFonts w:hint="default" w:ascii="Times New Roman" w:hAnsi="Times New Roman" w:cs="Times New Roman"/>
          <w:b/>
          <w:snapToGrid w:val="0"/>
          <w:kern w:val="0"/>
          <w:sz w:val="24"/>
        </w:rPr>
      </w:pPr>
      <w:r>
        <w:rPr>
          <w:rFonts w:hint="default" w:ascii="Times New Roman" w:hAnsi="Times New Roman" w:cs="Times New Roman"/>
          <w:b/>
          <w:snapToGrid w:val="0"/>
          <w:kern w:val="0"/>
          <w:sz w:val="24"/>
        </w:rPr>
        <w:t>响应回执的递交</w:t>
      </w:r>
    </w:p>
    <w:p>
      <w:pPr>
        <w:spacing w:line="360" w:lineRule="auto"/>
        <w:ind w:firstLine="480" w:firstLineChars="200"/>
        <w:rPr>
          <w:rFonts w:hint="default" w:ascii="Times New Roman" w:hAnsi="Times New Roman" w:cs="Times New Roman"/>
          <w:snapToGrid w:val="0"/>
          <w:color w:val="000000"/>
          <w:kern w:val="0"/>
          <w:sz w:val="24"/>
        </w:rPr>
      </w:pPr>
      <w:r>
        <w:rPr>
          <w:rFonts w:hint="default" w:ascii="Times New Roman" w:hAnsi="Times New Roman" w:cs="Times New Roman"/>
          <w:sz w:val="24"/>
        </w:rPr>
        <w:t>凡有意参加本次采购且具备履行本项目能力的供应商，请</w:t>
      </w:r>
      <w:r>
        <w:rPr>
          <w:rFonts w:hint="default" w:ascii="Times New Roman" w:hAnsi="Times New Roman" w:cs="Times New Roman"/>
          <w:color w:val="000000"/>
          <w:sz w:val="24"/>
        </w:rPr>
        <w:t>将附于本公告后的响应回执在</w:t>
      </w:r>
      <w:r>
        <w:rPr>
          <w:rFonts w:hint="default" w:ascii="Times New Roman" w:hAnsi="Times New Roman" w:cs="Times New Roman"/>
          <w:color w:val="000000"/>
          <w:sz w:val="24"/>
          <w:u w:val="single"/>
        </w:rPr>
        <w:t>2023年</w:t>
      </w:r>
      <w:r>
        <w:rPr>
          <w:rFonts w:hint="default" w:ascii="Times New Roman" w:hAnsi="Times New Roman" w:cs="Times New Roman"/>
          <w:color w:val="000000"/>
          <w:sz w:val="24"/>
          <w:u w:val="single"/>
          <w:lang w:val="en-US" w:eastAsia="zh-CN"/>
        </w:rPr>
        <w:t>04</w:t>
      </w:r>
      <w:r>
        <w:rPr>
          <w:rFonts w:hint="default" w:ascii="Times New Roman" w:hAnsi="Times New Roman" w:cs="Times New Roman"/>
          <w:color w:val="000000"/>
          <w:sz w:val="24"/>
          <w:u w:val="single"/>
        </w:rPr>
        <w:t>月</w:t>
      </w:r>
      <w:r>
        <w:rPr>
          <w:rFonts w:hint="default" w:ascii="Times New Roman" w:hAnsi="Times New Roman" w:cs="Times New Roman"/>
          <w:color w:val="000000"/>
          <w:sz w:val="24"/>
          <w:u w:val="single"/>
          <w:lang w:val="en-US" w:eastAsia="zh-CN"/>
        </w:rPr>
        <w:t>2</w:t>
      </w:r>
      <w:r>
        <w:rPr>
          <w:rFonts w:hint="eastAsia" w:cs="Times New Roman"/>
          <w:color w:val="000000"/>
          <w:sz w:val="24"/>
          <w:u w:val="single"/>
          <w:lang w:val="en-US" w:eastAsia="zh-CN"/>
        </w:rPr>
        <w:t>8</w:t>
      </w:r>
      <w:r>
        <w:rPr>
          <w:rFonts w:hint="default" w:ascii="Times New Roman" w:hAnsi="Times New Roman" w:cs="Times New Roman"/>
          <w:color w:val="000000"/>
          <w:sz w:val="24"/>
          <w:u w:val="single"/>
        </w:rPr>
        <w:t>日</w:t>
      </w:r>
      <w:r>
        <w:rPr>
          <w:rFonts w:hint="eastAsia" w:cs="Times New Roman"/>
          <w:color w:val="000000"/>
          <w:sz w:val="24"/>
          <w:u w:val="single"/>
          <w:lang w:val="en-US" w:eastAsia="zh-CN"/>
        </w:rPr>
        <w:t>10</w:t>
      </w:r>
      <w:r>
        <w:rPr>
          <w:rFonts w:hint="eastAsia" w:cs="Times New Roman"/>
          <w:color w:val="000000"/>
          <w:sz w:val="24"/>
          <w:u w:val="single"/>
          <w:lang w:eastAsia="zh-CN"/>
        </w:rPr>
        <w:t>：</w:t>
      </w:r>
      <w:r>
        <w:rPr>
          <w:rFonts w:hint="default" w:ascii="Times New Roman" w:hAnsi="Times New Roman" w:cs="Times New Roman"/>
          <w:color w:val="000000"/>
          <w:sz w:val="24"/>
          <w:u w:val="single"/>
        </w:rPr>
        <w:t>00</w:t>
      </w:r>
      <w:r>
        <w:rPr>
          <w:rFonts w:hint="default" w:ascii="Times New Roman" w:hAnsi="Times New Roman" w:cs="Times New Roman"/>
          <w:color w:val="000000"/>
          <w:sz w:val="24"/>
        </w:rPr>
        <w:t>之前发送至采购人邮箱：</w:t>
      </w:r>
      <w:r>
        <w:rPr>
          <w:rFonts w:hint="eastAsia" w:cs="Times New Roman"/>
          <w:color w:val="000000"/>
          <w:sz w:val="24"/>
          <w:lang w:val="en-US" w:eastAsia="zh-CN"/>
        </w:rPr>
        <w:t>1204355776</w:t>
      </w:r>
      <w:r>
        <w:rPr>
          <w:rFonts w:hint="default" w:ascii="Times New Roman" w:hAnsi="Times New Roman" w:cs="Times New Roman"/>
          <w:color w:val="000000"/>
          <w:sz w:val="24"/>
          <w:lang w:val="en-US" w:eastAsia="zh-CN"/>
        </w:rPr>
        <w:t>@qq</w:t>
      </w:r>
      <w:r>
        <w:rPr>
          <w:rFonts w:hint="default" w:ascii="Times New Roman" w:hAnsi="Times New Roman" w:cs="Times New Roman"/>
          <w:snapToGrid w:val="0"/>
          <w:color w:val="000000"/>
          <w:kern w:val="0"/>
          <w:sz w:val="24"/>
        </w:rPr>
        <w:t>.com，逾期无效。采购人在收到响应回执后根据供应商信用信誉等情况进行讨论提议，不再另行发布采购公告。</w:t>
      </w:r>
      <w:bookmarkStart w:id="6" w:name="_GoBack"/>
      <w:bookmarkEnd w:id="6"/>
    </w:p>
    <w:p>
      <w:pPr>
        <w:numPr>
          <w:ilvl w:val="0"/>
          <w:numId w:val="3"/>
        </w:numPr>
        <w:topLinePunct/>
        <w:spacing w:line="360" w:lineRule="auto"/>
        <w:outlineLvl w:val="1"/>
        <w:rPr>
          <w:rFonts w:hint="default" w:ascii="Times New Roman" w:hAnsi="Times New Roman" w:cs="Times New Roman"/>
          <w:b/>
          <w:snapToGrid w:val="0"/>
          <w:kern w:val="0"/>
          <w:sz w:val="24"/>
        </w:rPr>
      </w:pPr>
      <w:bookmarkStart w:id="3" w:name="_Toc332793818"/>
      <w:bookmarkStart w:id="4" w:name="_Toc332793891"/>
      <w:bookmarkStart w:id="5" w:name="_Toc332965960"/>
      <w:r>
        <w:rPr>
          <w:rFonts w:hint="default" w:ascii="Times New Roman" w:hAnsi="Times New Roman" w:cs="Times New Roman"/>
          <w:b/>
          <w:snapToGrid w:val="0"/>
          <w:kern w:val="0"/>
          <w:sz w:val="24"/>
        </w:rPr>
        <w:t>联系方式</w:t>
      </w:r>
      <w:bookmarkEnd w:id="3"/>
      <w:bookmarkEnd w:id="4"/>
      <w:bookmarkEnd w:id="5"/>
    </w:p>
    <w:p>
      <w:pPr>
        <w:topLinePunct/>
        <w:spacing w:line="360" w:lineRule="auto"/>
        <w:rPr>
          <w:rFonts w:hint="default" w:ascii="Times New Roman" w:hAnsi="Times New Roman" w:cs="Times New Roman"/>
          <w:color w:val="000000"/>
          <w:sz w:val="24"/>
        </w:rPr>
      </w:pPr>
      <w:r>
        <w:rPr>
          <w:rFonts w:hint="default" w:ascii="Times New Roman" w:hAnsi="Times New Roman" w:cs="Times New Roman"/>
          <w:color w:val="000000"/>
          <w:sz w:val="24"/>
        </w:rPr>
        <w:t>采购  人：广东诚泰交通科技发展有限公司</w:t>
      </w:r>
    </w:p>
    <w:p>
      <w:pPr>
        <w:topLinePunct/>
        <w:spacing w:line="360" w:lineRule="auto"/>
        <w:rPr>
          <w:rFonts w:hint="default" w:ascii="Times New Roman" w:hAnsi="Times New Roman" w:cs="Times New Roman"/>
          <w:color w:val="000000"/>
          <w:sz w:val="24"/>
        </w:rPr>
      </w:pPr>
      <w:r>
        <w:rPr>
          <w:rFonts w:hint="default" w:ascii="Times New Roman" w:hAnsi="Times New Roman" w:cs="Times New Roman"/>
          <w:color w:val="000000"/>
          <w:sz w:val="24"/>
        </w:rPr>
        <w:t>采购人地址：广州市番禺区洛浦街道北环路87号道路研究院二号楼</w:t>
      </w:r>
    </w:p>
    <w:p>
      <w:pPr>
        <w:topLinePunct/>
        <w:spacing w:line="360" w:lineRule="auto"/>
        <w:rPr>
          <w:rFonts w:hint="default" w:ascii="Times New Roman" w:hAnsi="Times New Roman" w:cs="Times New Roman"/>
          <w:color w:val="000000"/>
          <w:sz w:val="24"/>
        </w:rPr>
      </w:pPr>
      <w:r>
        <w:rPr>
          <w:rFonts w:hint="default" w:ascii="Times New Roman" w:hAnsi="Times New Roman" w:cs="Times New Roman"/>
          <w:color w:val="000000"/>
          <w:sz w:val="24"/>
        </w:rPr>
        <w:t>联  系  人：</w:t>
      </w:r>
      <w:r>
        <w:rPr>
          <w:rFonts w:hint="eastAsia" w:cs="Times New Roman"/>
          <w:color w:val="000000"/>
          <w:sz w:val="24"/>
          <w:lang w:val="en-US" w:eastAsia="zh-CN"/>
        </w:rPr>
        <w:t>刘</w:t>
      </w:r>
      <w:r>
        <w:rPr>
          <w:rFonts w:hint="default" w:ascii="Times New Roman" w:hAnsi="Times New Roman" w:cs="Times New Roman"/>
          <w:color w:val="000000"/>
          <w:sz w:val="24"/>
        </w:rPr>
        <w:t>工</w:t>
      </w:r>
    </w:p>
    <w:p>
      <w:pPr>
        <w:topLinePunct/>
        <w:spacing w:line="360" w:lineRule="auto"/>
        <w:rPr>
          <w:rFonts w:hint="default" w:ascii="Times New Roman" w:hAnsi="Times New Roman" w:cs="Times New Roman"/>
          <w:color w:val="000000"/>
          <w:sz w:val="24"/>
        </w:rPr>
      </w:pPr>
      <w:r>
        <w:rPr>
          <w:rFonts w:hint="default" w:ascii="Times New Roman" w:hAnsi="Times New Roman" w:cs="Times New Roman"/>
          <w:color w:val="000000"/>
          <w:sz w:val="24"/>
        </w:rPr>
        <w:t>电      话：020-39185740</w:t>
      </w:r>
    </w:p>
    <w:p>
      <w:pPr>
        <w:topLinePunct/>
        <w:spacing w:line="360" w:lineRule="auto"/>
        <w:jc w:val="right"/>
        <w:rPr>
          <w:rFonts w:hint="default" w:ascii="Times New Roman" w:hAnsi="Times New Roman" w:cs="Times New Roman"/>
          <w:color w:val="000000"/>
          <w:sz w:val="24"/>
        </w:rPr>
      </w:pPr>
      <w:r>
        <w:rPr>
          <w:rFonts w:hint="default" w:ascii="Times New Roman" w:hAnsi="Times New Roman" w:cs="Times New Roman"/>
          <w:color w:val="000000"/>
          <w:sz w:val="24"/>
        </w:rPr>
        <w:t>广东诚泰交通科技发展有限公司</w:t>
      </w:r>
    </w:p>
    <w:p>
      <w:pPr>
        <w:topLinePunct/>
        <w:spacing w:line="360" w:lineRule="auto"/>
        <w:jc w:val="center"/>
        <w:rPr>
          <w:rFonts w:hint="default" w:ascii="Times New Roman" w:hAnsi="Times New Roman" w:cs="Times New Roman"/>
          <w:color w:val="000000"/>
          <w:sz w:val="24"/>
        </w:rPr>
      </w:pPr>
      <w:r>
        <w:rPr>
          <w:rFonts w:hint="default" w:ascii="Times New Roman" w:hAnsi="Times New Roman" w:cs="Times New Roman"/>
          <w:color w:val="000000"/>
          <w:sz w:val="24"/>
        </w:rPr>
        <w:t xml:space="preserve">                                              2023年</w:t>
      </w:r>
      <w:r>
        <w:rPr>
          <w:rFonts w:hint="default" w:ascii="Times New Roman" w:hAnsi="Times New Roman" w:cs="Times New Roman"/>
          <w:color w:val="000000"/>
          <w:sz w:val="24"/>
          <w:lang w:val="en-US" w:eastAsia="zh-CN"/>
        </w:rPr>
        <w:t>04</w:t>
      </w:r>
      <w:r>
        <w:rPr>
          <w:rFonts w:hint="default" w:ascii="Times New Roman" w:hAnsi="Times New Roman" w:cs="Times New Roman"/>
          <w:color w:val="000000"/>
          <w:sz w:val="24"/>
        </w:rPr>
        <w:t>月</w:t>
      </w:r>
      <w:r>
        <w:rPr>
          <w:rFonts w:hint="default" w:ascii="Times New Roman" w:hAnsi="Times New Roman" w:cs="Times New Roman"/>
          <w:color w:val="000000"/>
          <w:sz w:val="24"/>
          <w:lang w:val="en-US" w:eastAsia="zh-CN"/>
        </w:rPr>
        <w:t xml:space="preserve"> </w:t>
      </w:r>
      <w:r>
        <w:rPr>
          <w:rFonts w:hint="eastAsia" w:cs="Times New Roman"/>
          <w:color w:val="000000"/>
          <w:sz w:val="24"/>
          <w:lang w:val="en-US" w:eastAsia="zh-CN"/>
        </w:rPr>
        <w:t>27</w:t>
      </w:r>
      <w:r>
        <w:rPr>
          <w:rFonts w:hint="default" w:ascii="Times New Roman" w:hAnsi="Times New Roman" w:cs="Times New Roman"/>
          <w:color w:val="000000"/>
          <w:sz w:val="24"/>
        </w:rPr>
        <w:t>日</w:t>
      </w:r>
    </w:p>
    <w:p>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panose1 w:val="02040602050305030304"/>
    <w:charset w:val="00"/>
    <w:family w:val="roman"/>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9"/>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7"/>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31"/>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7"/>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8"/>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4C61694A"/>
    <w:multiLevelType w:val="multilevel"/>
    <w:tmpl w:val="4C61694A"/>
    <w:lvl w:ilvl="0" w:tentative="0">
      <w:start w:val="1"/>
      <w:numFmt w:val="bullet"/>
      <w:lvlText w:val="-"/>
      <w:lvlJc w:val="left"/>
      <w:pPr>
        <w:ind w:left="839" w:firstLine="1"/>
      </w:pPr>
      <w:rPr>
        <w:rFonts w:hint="eastAsia" w:ascii="宋体" w:hAnsi="宋体" w:eastAsia="宋体"/>
      </w:rPr>
    </w:lvl>
    <w:lvl w:ilvl="1" w:tentative="0">
      <w:start w:val="1"/>
      <w:numFmt w:val="bullet"/>
      <w:lvlText w:val=""/>
      <w:lvlJc w:val="left"/>
      <w:pPr>
        <w:ind w:left="1680" w:hanging="420"/>
      </w:pPr>
      <w:rPr>
        <w:rFonts w:hint="default" w:ascii="Wingdings" w:hAnsi="Wingdings"/>
      </w:rPr>
    </w:lvl>
    <w:lvl w:ilvl="2" w:tentative="0">
      <w:start w:val="1"/>
      <w:numFmt w:val="bullet"/>
      <w:lvlText w:val=""/>
      <w:lvlJc w:val="left"/>
      <w:pPr>
        <w:ind w:left="2100" w:hanging="420"/>
      </w:pPr>
      <w:rPr>
        <w:rFonts w:hint="default" w:ascii="Wingdings" w:hAnsi="Wingdings"/>
      </w:rPr>
    </w:lvl>
    <w:lvl w:ilvl="3" w:tentative="0">
      <w:start w:val="1"/>
      <w:numFmt w:val="bullet"/>
      <w:lvlText w:val=""/>
      <w:lvlJc w:val="left"/>
      <w:pPr>
        <w:ind w:left="2520" w:hanging="420"/>
      </w:pPr>
      <w:rPr>
        <w:rFonts w:hint="default" w:ascii="Wingdings" w:hAnsi="Wingdings"/>
      </w:rPr>
    </w:lvl>
    <w:lvl w:ilvl="4" w:tentative="0">
      <w:start w:val="1"/>
      <w:numFmt w:val="bullet"/>
      <w:lvlText w:val=""/>
      <w:lvlJc w:val="left"/>
      <w:pPr>
        <w:ind w:left="2940" w:hanging="420"/>
      </w:pPr>
      <w:rPr>
        <w:rFonts w:hint="default" w:ascii="Wingdings" w:hAnsi="Wingdings"/>
      </w:rPr>
    </w:lvl>
    <w:lvl w:ilvl="5" w:tentative="0">
      <w:start w:val="1"/>
      <w:numFmt w:val="bullet"/>
      <w:lvlText w:val=""/>
      <w:lvlJc w:val="left"/>
      <w:pPr>
        <w:ind w:left="3360" w:hanging="420"/>
      </w:pPr>
      <w:rPr>
        <w:rFonts w:hint="default" w:ascii="Wingdings" w:hAnsi="Wingdings"/>
      </w:rPr>
    </w:lvl>
    <w:lvl w:ilvl="6" w:tentative="0">
      <w:start w:val="1"/>
      <w:numFmt w:val="bullet"/>
      <w:lvlText w:val=""/>
      <w:lvlJc w:val="left"/>
      <w:pPr>
        <w:ind w:left="3780" w:hanging="420"/>
      </w:pPr>
      <w:rPr>
        <w:rFonts w:hint="default" w:ascii="Wingdings" w:hAnsi="Wingdings"/>
      </w:rPr>
    </w:lvl>
    <w:lvl w:ilvl="7" w:tentative="0">
      <w:start w:val="1"/>
      <w:numFmt w:val="bullet"/>
      <w:lvlText w:val=""/>
      <w:lvlJc w:val="left"/>
      <w:pPr>
        <w:ind w:left="4200" w:hanging="420"/>
      </w:pPr>
      <w:rPr>
        <w:rFonts w:hint="default" w:ascii="Wingdings" w:hAnsi="Wingdings"/>
      </w:rPr>
    </w:lvl>
    <w:lvl w:ilvl="8" w:tentative="0">
      <w:start w:val="1"/>
      <w:numFmt w:val="bullet"/>
      <w:lvlText w:val=""/>
      <w:lvlJc w:val="left"/>
      <w:pPr>
        <w:ind w:left="4620" w:hanging="420"/>
      </w:pPr>
      <w:rPr>
        <w:rFonts w:hint="default" w:ascii="Wingdings" w:hAnsi="Wingdings"/>
      </w:rPr>
    </w:lvl>
  </w:abstractNum>
  <w:abstractNum w:abstractNumId="4">
    <w:nsid w:val="664D76C3"/>
    <w:multiLevelType w:val="multilevel"/>
    <w:tmpl w:val="664D76C3"/>
    <w:lvl w:ilvl="0" w:tentative="0">
      <w:start w:val="1"/>
      <w:numFmt w:val="decimal"/>
      <w:lvlText w:val="(%1)."/>
      <w:lvlJc w:val="left"/>
      <w:pPr>
        <w:ind w:left="2688"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6E230785"/>
    <w:multiLevelType w:val="multilevel"/>
    <w:tmpl w:val="6E230785"/>
    <w:lvl w:ilvl="0" w:tentative="0">
      <w:start w:val="1"/>
      <w:numFmt w:val="bullet"/>
      <w:pStyle w:val="36"/>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3"/>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4"/>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5"/>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40"/>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2"/>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8"/>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9"/>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abstractNum w:abstractNumId="6">
    <w:nsid w:val="76F315D5"/>
    <w:multiLevelType w:val="multilevel"/>
    <w:tmpl w:val="76F315D5"/>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5"/>
  </w:num>
  <w:num w:numId="3">
    <w:abstractNumId w:val="0"/>
  </w:num>
  <w:num w:numId="4">
    <w:abstractNumId w:val="1"/>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WI3N2RkNjNkMmQ3Y2I1ZjE0N2ZmZTdkNWY5YmY4ZmIifQ=="/>
  </w:docVars>
  <w:rsids>
    <w:rsidRoot w:val="00172A27"/>
    <w:rsid w:val="00123FE3"/>
    <w:rsid w:val="001301C5"/>
    <w:rsid w:val="00172A27"/>
    <w:rsid w:val="00477707"/>
    <w:rsid w:val="005603E4"/>
    <w:rsid w:val="00791D96"/>
    <w:rsid w:val="009006FE"/>
    <w:rsid w:val="009A3C9A"/>
    <w:rsid w:val="00CC1A2E"/>
    <w:rsid w:val="00ED32E4"/>
    <w:rsid w:val="00EE2011"/>
    <w:rsid w:val="00FA736A"/>
    <w:rsid w:val="00FC4153"/>
    <w:rsid w:val="00FD7ED5"/>
    <w:rsid w:val="02040FDF"/>
    <w:rsid w:val="029457B7"/>
    <w:rsid w:val="03393105"/>
    <w:rsid w:val="046E3765"/>
    <w:rsid w:val="061439B5"/>
    <w:rsid w:val="06622CB2"/>
    <w:rsid w:val="072D08E0"/>
    <w:rsid w:val="08EE3671"/>
    <w:rsid w:val="0A69025B"/>
    <w:rsid w:val="0AA572D2"/>
    <w:rsid w:val="0DA26991"/>
    <w:rsid w:val="0ECB4993"/>
    <w:rsid w:val="112A7044"/>
    <w:rsid w:val="12ED5CBA"/>
    <w:rsid w:val="14C447F8"/>
    <w:rsid w:val="185E4488"/>
    <w:rsid w:val="18606150"/>
    <w:rsid w:val="19B32EC3"/>
    <w:rsid w:val="1A786886"/>
    <w:rsid w:val="1D5379E4"/>
    <w:rsid w:val="1DC008E5"/>
    <w:rsid w:val="1F3E25C9"/>
    <w:rsid w:val="1F8905C9"/>
    <w:rsid w:val="20205D7D"/>
    <w:rsid w:val="2039362C"/>
    <w:rsid w:val="20607ACB"/>
    <w:rsid w:val="227214CF"/>
    <w:rsid w:val="228C5E52"/>
    <w:rsid w:val="24875F4B"/>
    <w:rsid w:val="28126A09"/>
    <w:rsid w:val="292922C2"/>
    <w:rsid w:val="2A6117E0"/>
    <w:rsid w:val="2A9C2048"/>
    <w:rsid w:val="2B975488"/>
    <w:rsid w:val="2BB05A29"/>
    <w:rsid w:val="2BBE1469"/>
    <w:rsid w:val="2C101B15"/>
    <w:rsid w:val="2D393A69"/>
    <w:rsid w:val="2E0860D1"/>
    <w:rsid w:val="2E5A20BA"/>
    <w:rsid w:val="2ECB5FE2"/>
    <w:rsid w:val="326B3633"/>
    <w:rsid w:val="32732A6D"/>
    <w:rsid w:val="34403FA4"/>
    <w:rsid w:val="34DB5F68"/>
    <w:rsid w:val="35912415"/>
    <w:rsid w:val="38A511DA"/>
    <w:rsid w:val="3A7D6982"/>
    <w:rsid w:val="3BDA652C"/>
    <w:rsid w:val="3C047712"/>
    <w:rsid w:val="3DD1395F"/>
    <w:rsid w:val="3E8C010F"/>
    <w:rsid w:val="3EFD65C9"/>
    <w:rsid w:val="3FA27361"/>
    <w:rsid w:val="400E2C48"/>
    <w:rsid w:val="403A795B"/>
    <w:rsid w:val="4044389B"/>
    <w:rsid w:val="40C03B09"/>
    <w:rsid w:val="42100EF9"/>
    <w:rsid w:val="434B112E"/>
    <w:rsid w:val="435E6014"/>
    <w:rsid w:val="44A30E69"/>
    <w:rsid w:val="46BE63C6"/>
    <w:rsid w:val="46C97C03"/>
    <w:rsid w:val="472B5FAC"/>
    <w:rsid w:val="48AD79E8"/>
    <w:rsid w:val="4908486B"/>
    <w:rsid w:val="49DC5C4D"/>
    <w:rsid w:val="4A44006F"/>
    <w:rsid w:val="4BFB311F"/>
    <w:rsid w:val="4D4844E5"/>
    <w:rsid w:val="4DA31AFF"/>
    <w:rsid w:val="4DB34E2F"/>
    <w:rsid w:val="50DE6FEF"/>
    <w:rsid w:val="515756D7"/>
    <w:rsid w:val="523D3544"/>
    <w:rsid w:val="52871060"/>
    <w:rsid w:val="52BF1F4D"/>
    <w:rsid w:val="52ED4007"/>
    <w:rsid w:val="537E445E"/>
    <w:rsid w:val="54210D44"/>
    <w:rsid w:val="55306D65"/>
    <w:rsid w:val="560F1B9D"/>
    <w:rsid w:val="57BF2D4E"/>
    <w:rsid w:val="58B04768"/>
    <w:rsid w:val="58B74CBC"/>
    <w:rsid w:val="5B2814D9"/>
    <w:rsid w:val="5E8E770E"/>
    <w:rsid w:val="5F087C2D"/>
    <w:rsid w:val="606D5311"/>
    <w:rsid w:val="61147E15"/>
    <w:rsid w:val="623B7383"/>
    <w:rsid w:val="63166D1A"/>
    <w:rsid w:val="65922BE0"/>
    <w:rsid w:val="675E59B4"/>
    <w:rsid w:val="6AC87D14"/>
    <w:rsid w:val="6C083654"/>
    <w:rsid w:val="6C094604"/>
    <w:rsid w:val="6C751B3B"/>
    <w:rsid w:val="6E354925"/>
    <w:rsid w:val="6E4A295F"/>
    <w:rsid w:val="710B2708"/>
    <w:rsid w:val="71170F89"/>
    <w:rsid w:val="724471CD"/>
    <w:rsid w:val="74963E13"/>
    <w:rsid w:val="760D37CC"/>
    <w:rsid w:val="777F175A"/>
    <w:rsid w:val="79E2018B"/>
    <w:rsid w:val="7AB074F6"/>
    <w:rsid w:val="7BB2316F"/>
    <w:rsid w:val="7C7F737F"/>
    <w:rsid w:val="7DD345AE"/>
    <w:rsid w:val="7F263D72"/>
    <w:rsid w:val="7FCB0EE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9"/>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20"/>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7"/>
    <w:next w:val="8"/>
    <w:link w:val="21"/>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9">
    <w:name w:val="heading 5"/>
    <w:basedOn w:val="1"/>
    <w:next w:val="1"/>
    <w:link w:val="22"/>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7">
    <w:name w:val="Body Text Indent 2"/>
    <w:basedOn w:val="1"/>
    <w:qFormat/>
    <w:uiPriority w:val="0"/>
    <w:pPr>
      <w:adjustRightInd w:val="0"/>
      <w:spacing w:line="360" w:lineRule="auto"/>
      <w:ind w:firstLine="513"/>
      <w:textAlignment w:val="baseline"/>
    </w:pPr>
    <w:rPr>
      <w:rFonts w:ascii="楷体_GB2312" w:eastAsia="楷体_GB2312"/>
      <w:sz w:val="24"/>
      <w:szCs w:val="20"/>
    </w:rPr>
  </w:style>
  <w:style w:type="paragraph" w:styleId="8">
    <w:name w:val="Normal Indent"/>
    <w:basedOn w:val="1"/>
    <w:qFormat/>
    <w:uiPriority w:val="99"/>
    <w:pPr>
      <w:ind w:firstLine="420" w:firstLineChars="200"/>
    </w:pPr>
  </w:style>
  <w:style w:type="paragraph" w:styleId="10">
    <w:name w:val="Body Text"/>
    <w:basedOn w:val="1"/>
    <w:next w:val="1"/>
    <w:qFormat/>
    <w:uiPriority w:val="0"/>
    <w:pPr>
      <w:spacing w:after="120"/>
    </w:pPr>
    <w:rPr>
      <w:rFonts w:ascii="Calibri" w:hAnsi="宋体"/>
    </w:rPr>
  </w:style>
  <w:style w:type="paragraph" w:styleId="11">
    <w:name w:val="Plain Text"/>
    <w:basedOn w:val="1"/>
    <w:next w:val="1"/>
    <w:qFormat/>
    <w:uiPriority w:val="0"/>
    <w:rPr>
      <w:rFonts w:ascii="宋体" w:hAnsi="Courier New"/>
      <w:szCs w:val="20"/>
    </w:rPr>
  </w:style>
  <w:style w:type="paragraph" w:styleId="12">
    <w:name w:val="Balloon Text"/>
    <w:basedOn w:val="1"/>
    <w:link w:val="41"/>
    <w:qFormat/>
    <w:uiPriority w:val="0"/>
    <w:rPr>
      <w:sz w:val="18"/>
      <w:szCs w:val="18"/>
    </w:rPr>
  </w:style>
  <w:style w:type="paragraph" w:styleId="13">
    <w:name w:val="footer"/>
    <w:basedOn w:val="1"/>
    <w:link w:val="18"/>
    <w:qFormat/>
    <w:uiPriority w:val="0"/>
    <w:pPr>
      <w:tabs>
        <w:tab w:val="center" w:pos="4153"/>
        <w:tab w:val="right" w:pos="8306"/>
      </w:tabs>
      <w:snapToGrid w:val="0"/>
      <w:jc w:val="left"/>
    </w:pPr>
    <w:rPr>
      <w:sz w:val="18"/>
      <w:szCs w:val="18"/>
    </w:rPr>
  </w:style>
  <w:style w:type="paragraph" w:styleId="14">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character" w:customStyle="1" w:styleId="17">
    <w:name w:val="页眉 Char"/>
    <w:basedOn w:val="16"/>
    <w:link w:val="14"/>
    <w:qFormat/>
    <w:uiPriority w:val="0"/>
    <w:rPr>
      <w:kern w:val="2"/>
      <w:sz w:val="18"/>
      <w:szCs w:val="18"/>
    </w:rPr>
  </w:style>
  <w:style w:type="character" w:customStyle="1" w:styleId="18">
    <w:name w:val="页脚 Char"/>
    <w:basedOn w:val="16"/>
    <w:link w:val="13"/>
    <w:qFormat/>
    <w:uiPriority w:val="0"/>
    <w:rPr>
      <w:kern w:val="2"/>
      <w:sz w:val="18"/>
      <w:szCs w:val="18"/>
    </w:rPr>
  </w:style>
  <w:style w:type="character" w:customStyle="1" w:styleId="19">
    <w:name w:val="标题 2 Char"/>
    <w:basedOn w:val="16"/>
    <w:link w:val="4"/>
    <w:qFormat/>
    <w:uiPriority w:val="0"/>
    <w:rPr>
      <w:rFonts w:ascii="Book Antiqua" w:hAnsi="Book Antiqua" w:eastAsia="黑体" w:cs="Book Antiqua"/>
      <w:bCs/>
      <w:sz w:val="36"/>
      <w:szCs w:val="36"/>
      <w:lang w:eastAsia="en-US"/>
    </w:rPr>
  </w:style>
  <w:style w:type="character" w:customStyle="1" w:styleId="20">
    <w:name w:val="标题 3 Char"/>
    <w:basedOn w:val="16"/>
    <w:link w:val="5"/>
    <w:qFormat/>
    <w:uiPriority w:val="0"/>
    <w:rPr>
      <w:rFonts w:ascii="Book Antiqua" w:hAnsi="Book Antiqua" w:eastAsia="黑体" w:cs="宋体"/>
      <w:sz w:val="32"/>
      <w:szCs w:val="32"/>
    </w:rPr>
  </w:style>
  <w:style w:type="character" w:customStyle="1" w:styleId="21">
    <w:name w:val="标题 4 Char"/>
    <w:basedOn w:val="16"/>
    <w:link w:val="6"/>
    <w:qFormat/>
    <w:uiPriority w:val="0"/>
    <w:rPr>
      <w:rFonts w:ascii="Book Antiqua" w:hAnsi="Book Antiqua" w:eastAsia="黑体" w:cs="宋体"/>
      <w:sz w:val="28"/>
      <w:szCs w:val="28"/>
    </w:rPr>
  </w:style>
  <w:style w:type="character" w:customStyle="1" w:styleId="22">
    <w:name w:val="标题 5 Char"/>
    <w:basedOn w:val="16"/>
    <w:link w:val="9"/>
    <w:qFormat/>
    <w:uiPriority w:val="0"/>
    <w:rPr>
      <w:rFonts w:ascii="Book Antiqua" w:hAnsi="Book Antiqua" w:eastAsia="黑体" w:cs="宋体"/>
      <w:sz w:val="24"/>
      <w:szCs w:val="24"/>
    </w:rPr>
  </w:style>
  <w:style w:type="paragraph" w:styleId="23">
    <w:name w:val="List Paragraph"/>
    <w:basedOn w:val="1"/>
    <w:link w:val="24"/>
    <w:qFormat/>
    <w:uiPriority w:val="34"/>
    <w:pPr>
      <w:ind w:firstLine="420" w:firstLineChars="200"/>
    </w:pPr>
    <w:rPr>
      <w:rFonts w:asciiTheme="minorHAnsi" w:hAnsiTheme="minorHAnsi" w:eastAsiaTheme="minorEastAsia" w:cstheme="minorBidi"/>
      <w:szCs w:val="22"/>
    </w:rPr>
  </w:style>
  <w:style w:type="character" w:customStyle="1" w:styleId="24">
    <w:name w:val="列出段落 Char"/>
    <w:link w:val="23"/>
    <w:qFormat/>
    <w:uiPriority w:val="34"/>
    <w:rPr>
      <w:rFonts w:asciiTheme="minorHAnsi" w:hAnsiTheme="minorHAnsi" w:eastAsiaTheme="minorEastAsia" w:cstheme="minorBidi"/>
      <w:kern w:val="2"/>
      <w:sz w:val="21"/>
      <w:szCs w:val="22"/>
    </w:rPr>
  </w:style>
  <w:style w:type="character" w:customStyle="1" w:styleId="25">
    <w:name w:val="Item Step in table Char Char"/>
    <w:link w:val="26"/>
    <w:qFormat/>
    <w:uiPriority w:val="0"/>
    <w:rPr>
      <w:rFonts w:cs="Arial"/>
      <w:bCs/>
      <w:szCs w:val="28"/>
    </w:rPr>
  </w:style>
  <w:style w:type="paragraph" w:customStyle="1" w:styleId="26">
    <w:name w:val="Item Step in table"/>
    <w:basedOn w:val="9"/>
    <w:link w:val="25"/>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7">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8">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9">
    <w:name w:val="Table Text Char"/>
    <w:link w:val="30"/>
    <w:qFormat/>
    <w:uiPriority w:val="0"/>
    <w:rPr>
      <w:rFonts w:cs="Arial"/>
      <w:szCs w:val="21"/>
    </w:rPr>
  </w:style>
  <w:style w:type="paragraph" w:customStyle="1" w:styleId="30">
    <w:name w:val="Table Text"/>
    <w:basedOn w:val="1"/>
    <w:link w:val="29"/>
    <w:qFormat/>
    <w:uiPriority w:val="0"/>
    <w:pPr>
      <w:topLinePunct/>
      <w:adjustRightInd w:val="0"/>
      <w:snapToGrid w:val="0"/>
      <w:spacing w:before="80" w:after="80" w:line="240" w:lineRule="atLeast"/>
      <w:jc w:val="left"/>
    </w:pPr>
    <w:rPr>
      <w:rFonts w:cs="Arial"/>
      <w:kern w:val="0"/>
      <w:sz w:val="20"/>
      <w:szCs w:val="21"/>
    </w:rPr>
  </w:style>
  <w:style w:type="paragraph" w:customStyle="1" w:styleId="31">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2">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3">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5">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6">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7">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8">
    <w:name w:val="Notes Text Step"/>
    <w:basedOn w:val="32"/>
    <w:qFormat/>
    <w:uiPriority w:val="0"/>
    <w:pPr>
      <w:numPr>
        <w:ilvl w:val="6"/>
      </w:numPr>
      <w:pBdr>
        <w:bottom w:val="none" w:color="auto" w:sz="0" w:space="0"/>
      </w:pBdr>
      <w:spacing w:before="40" w:line="200" w:lineRule="atLeast"/>
    </w:pPr>
    <w:rPr>
      <w:sz w:val="18"/>
      <w:szCs w:val="18"/>
    </w:rPr>
  </w:style>
  <w:style w:type="paragraph" w:customStyle="1" w:styleId="39">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40">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41">
    <w:name w:val="批注框文本 Char"/>
    <w:basedOn w:val="16"/>
    <w:link w:val="12"/>
    <w:qFormat/>
    <w:uiPriority w:val="0"/>
    <w:rPr>
      <w:kern w:val="2"/>
      <w:sz w:val="18"/>
      <w:szCs w:val="18"/>
    </w:rPr>
  </w:style>
  <w:style w:type="character" w:customStyle="1" w:styleId="42">
    <w:name w:val="font41"/>
    <w:basedOn w:val="16"/>
    <w:qFormat/>
    <w:uiPriority w:val="0"/>
    <w:rPr>
      <w:rFonts w:hint="default" w:ascii="Times New Roman" w:hAnsi="Times New Roman" w:cs="Times New Roman"/>
      <w:color w:val="000000"/>
      <w:sz w:val="18"/>
      <w:szCs w:val="18"/>
      <w:u w:val="none"/>
    </w:rPr>
  </w:style>
  <w:style w:type="character" w:customStyle="1" w:styleId="43">
    <w:name w:val="font31"/>
    <w:basedOn w:val="16"/>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1784</Words>
  <Characters>2092</Characters>
  <Lines>61</Lines>
  <Paragraphs>17</Paragraphs>
  <TotalTime>6</TotalTime>
  <ScaleCrop>false</ScaleCrop>
  <LinksUpToDate>false</LinksUpToDate>
  <CharactersWithSpaces>2188</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hp</cp:lastModifiedBy>
  <cp:lastPrinted>2022-10-20T06:50:00Z</cp:lastPrinted>
  <dcterms:modified xsi:type="dcterms:W3CDTF">2023-04-27T01:04:48Z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B75484C30A0D48A998196F431A9A3E69</vt:lpwstr>
  </property>
</Properties>
</file>