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lang w:eastAsia="zh-CN"/>
        </w:rPr>
        <w:t>广州市从化至黄埔高速公路一期工程机电工程（SG09合同段）光纤</w:t>
      </w:r>
      <w:r>
        <w:rPr>
          <w:rFonts w:hint="default" w:ascii="Times New Roman" w:hAnsi="Times New Roman" w:eastAsia="仿宋_GB2312" w:cs="Times New Roman"/>
          <w:b/>
          <w:color w:val="000000"/>
          <w:sz w:val="32"/>
          <w:szCs w:val="32"/>
          <w:lang w:val="en-US" w:eastAsia="zh-CN"/>
        </w:rPr>
        <w:t>在线监测等设备</w:t>
      </w:r>
      <w:r>
        <w:rPr>
          <w:rFonts w:hint="default" w:ascii="Times New Roman" w:hAnsi="Times New Roman" w:eastAsia="仿宋_GB2312" w:cs="Times New Roman"/>
          <w:b/>
          <w:color w:val="000000"/>
          <w:sz w:val="32"/>
          <w:szCs w:val="32"/>
        </w:rPr>
        <w:t>采购意向征集公告</w:t>
      </w:r>
    </w:p>
    <w:p>
      <w:pPr>
        <w:spacing w:line="360" w:lineRule="auto"/>
        <w:jc w:val="center"/>
        <w:outlineLvl w:val="1"/>
        <w:rPr>
          <w:rFonts w:hint="default" w:ascii="Times New Roman" w:hAnsi="Times New Roman" w:cs="Times New Roman"/>
          <w:sz w:val="24"/>
        </w:rPr>
      </w:pP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项目概况</w:t>
      </w:r>
    </w:p>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1.1项目名称：</w:t>
      </w:r>
      <w:r>
        <w:rPr>
          <w:rFonts w:hint="default"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1.2项目地点：广州市</w:t>
      </w:r>
    </w:p>
    <w:p>
      <w:pPr>
        <w:numPr>
          <w:ilvl w:val="0"/>
          <w:numId w:val="3"/>
        </w:numPr>
        <w:topLinePunct/>
        <w:spacing w:line="360" w:lineRule="auto"/>
        <w:outlineLvl w:val="1"/>
        <w:rPr>
          <w:rFonts w:hint="default" w:ascii="Times New Roman" w:hAnsi="Times New Roman" w:cs="Times New Roman"/>
          <w:b/>
        </w:rPr>
      </w:pPr>
      <w:r>
        <w:rPr>
          <w:rFonts w:hint="default" w:ascii="Times New Roman" w:hAnsi="Times New Roman" w:cs="Times New Roman"/>
          <w:b/>
          <w:snapToGrid w:val="0"/>
          <w:kern w:val="0"/>
          <w:sz w:val="24"/>
        </w:rPr>
        <w:t>具体工程量清单</w:t>
      </w:r>
    </w:p>
    <w:tbl>
      <w:tblPr>
        <w:tblStyle w:val="13"/>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1689"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lang w:eastAsia="zh-CN"/>
              </w:rPr>
              <w:t>设备</w:t>
            </w:r>
            <w:r>
              <w:rPr>
                <w:rFonts w:hint="default" w:ascii="Times New Roman" w:hAnsi="Times New Roman" w:cs="Times New Roman"/>
                <w:szCs w:val="21"/>
              </w:rPr>
              <w:t>名称</w:t>
            </w:r>
          </w:p>
        </w:tc>
        <w:tc>
          <w:tcPr>
            <w:tcW w:w="123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品牌/型号</w:t>
            </w:r>
          </w:p>
        </w:tc>
        <w:tc>
          <w:tcPr>
            <w:tcW w:w="641"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单位</w:t>
            </w:r>
          </w:p>
        </w:tc>
        <w:tc>
          <w:tcPr>
            <w:tcW w:w="923"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数量</w:t>
            </w:r>
          </w:p>
        </w:tc>
        <w:tc>
          <w:tcPr>
            <w:tcW w:w="989"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803-17-1</w:t>
            </w:r>
          </w:p>
        </w:tc>
        <w:tc>
          <w:tcPr>
            <w:tcW w:w="1689"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光纤在线监测设备主机</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套</w:t>
            </w:r>
          </w:p>
        </w:tc>
        <w:tc>
          <w:tcPr>
            <w:tcW w:w="923"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1</w:t>
            </w:r>
          </w:p>
        </w:tc>
        <w:tc>
          <w:tcPr>
            <w:tcW w:w="989" w:type="dxa"/>
            <w:shd w:val="clear" w:color="auto" w:fill="auto"/>
            <w:vAlign w:val="center"/>
          </w:tcPr>
          <w:p>
            <w:pPr>
              <w:spacing w:line="240" w:lineRule="auto"/>
              <w:jc w:val="center"/>
              <w:rPr>
                <w:rFonts w:hint="default" w:ascii="Times New Roman" w:hAnsi="Times New Roman"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803-17-2</w:t>
            </w:r>
          </w:p>
        </w:tc>
        <w:tc>
          <w:tcPr>
            <w:tcW w:w="1689"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光纤在线监测业务应用模块</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块</w:t>
            </w:r>
          </w:p>
        </w:tc>
        <w:tc>
          <w:tcPr>
            <w:tcW w:w="923"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5</w:t>
            </w:r>
          </w:p>
        </w:tc>
        <w:tc>
          <w:tcPr>
            <w:tcW w:w="989" w:type="dxa"/>
            <w:shd w:val="clear" w:color="auto" w:fill="auto"/>
            <w:vAlign w:val="center"/>
          </w:tcPr>
          <w:p>
            <w:pPr>
              <w:spacing w:line="240" w:lineRule="auto"/>
              <w:jc w:val="center"/>
              <w:rPr>
                <w:rFonts w:hint="default" w:ascii="Times New Roman" w:hAnsi="Times New Roman"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803-17-3</w:t>
            </w:r>
          </w:p>
        </w:tc>
        <w:tc>
          <w:tcPr>
            <w:tcW w:w="1689"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合波器</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台</w:t>
            </w:r>
          </w:p>
        </w:tc>
        <w:tc>
          <w:tcPr>
            <w:tcW w:w="923"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5</w:t>
            </w:r>
          </w:p>
        </w:tc>
        <w:tc>
          <w:tcPr>
            <w:tcW w:w="989" w:type="dxa"/>
            <w:shd w:val="clear" w:color="auto" w:fill="auto"/>
            <w:vAlign w:val="center"/>
          </w:tcPr>
          <w:p>
            <w:pPr>
              <w:spacing w:line="240" w:lineRule="auto"/>
              <w:jc w:val="center"/>
              <w:rPr>
                <w:rFonts w:hint="default" w:ascii="Times New Roman" w:hAnsi="Times New Roman"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803-17-4</w:t>
            </w:r>
          </w:p>
        </w:tc>
        <w:tc>
          <w:tcPr>
            <w:tcW w:w="1689"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光纤监测系统管理平台</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套</w:t>
            </w:r>
          </w:p>
        </w:tc>
        <w:tc>
          <w:tcPr>
            <w:tcW w:w="923"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1</w:t>
            </w:r>
          </w:p>
        </w:tc>
        <w:tc>
          <w:tcPr>
            <w:tcW w:w="989" w:type="dxa"/>
            <w:shd w:val="clear" w:color="auto" w:fill="auto"/>
            <w:vAlign w:val="center"/>
          </w:tcPr>
          <w:p>
            <w:pPr>
              <w:spacing w:line="240" w:lineRule="auto"/>
              <w:jc w:val="center"/>
              <w:rPr>
                <w:rFonts w:hint="default" w:ascii="Times New Roman" w:hAnsi="Times New Roman"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803-18</w:t>
            </w:r>
          </w:p>
        </w:tc>
        <w:tc>
          <w:tcPr>
            <w:tcW w:w="1689"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4G切换设备</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套</w:t>
            </w:r>
          </w:p>
        </w:tc>
        <w:tc>
          <w:tcPr>
            <w:tcW w:w="923" w:type="dxa"/>
            <w:shd w:val="clear" w:color="auto" w:fill="auto"/>
            <w:vAlign w:val="center"/>
          </w:tcPr>
          <w:p>
            <w:pPr>
              <w:spacing w:line="24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4</w:t>
            </w:r>
          </w:p>
        </w:tc>
        <w:tc>
          <w:tcPr>
            <w:tcW w:w="989" w:type="dxa"/>
            <w:shd w:val="clear" w:color="auto" w:fill="auto"/>
            <w:vAlign w:val="center"/>
          </w:tcPr>
          <w:p>
            <w:pPr>
              <w:spacing w:line="240" w:lineRule="auto"/>
              <w:jc w:val="center"/>
              <w:rPr>
                <w:rFonts w:hint="default" w:ascii="Times New Roman" w:hAnsi="Times New Roman" w:cs="Times New Roman"/>
                <w:szCs w:val="21"/>
                <w:lang w:val="en-US" w:eastAsia="zh-CN"/>
              </w:rPr>
            </w:pPr>
          </w:p>
        </w:tc>
      </w:tr>
    </w:tbl>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包括运输、</w:t>
      </w:r>
      <w:r>
        <w:rPr>
          <w:rFonts w:hint="default" w:ascii="Times New Roman" w:hAnsi="Times New Roman" w:cs="Times New Roman"/>
          <w:bCs/>
          <w:snapToGrid w:val="0"/>
          <w:kern w:val="0"/>
          <w:sz w:val="24"/>
          <w:lang w:eastAsia="zh-CN"/>
        </w:rPr>
        <w:t>安装调试</w:t>
      </w:r>
      <w:r>
        <w:rPr>
          <w:rFonts w:hint="default" w:ascii="Times New Roman" w:hAnsi="Times New Roman" w:cs="Times New Roman"/>
          <w:bCs/>
          <w:snapToGrid w:val="0"/>
          <w:kern w:val="0"/>
          <w:sz w:val="24"/>
          <w:lang w:val="en-US" w:eastAsia="zh-CN"/>
        </w:rPr>
        <w:t>费、</w:t>
      </w:r>
      <w:r>
        <w:rPr>
          <w:rFonts w:hint="default" w:ascii="Times New Roman" w:hAnsi="Times New Roman"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质保期：两</w:t>
      </w:r>
      <w:bookmarkStart w:id="6" w:name="_GoBack"/>
      <w:bookmarkEnd w:id="6"/>
      <w:r>
        <w:rPr>
          <w:rFonts w:hint="default" w:ascii="Times New Roman" w:hAnsi="Times New Roman" w:cs="Times New Roman"/>
          <w:bCs/>
          <w:snapToGrid w:val="0"/>
          <w:kern w:val="0"/>
          <w:sz w:val="24"/>
        </w:rPr>
        <w:t>年；</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最高限价：</w:t>
      </w:r>
      <w:r>
        <w:rPr>
          <w:rFonts w:hint="default" w:ascii="Times New Roman" w:hAnsi="Times New Roman" w:cs="Times New Roman"/>
          <w:bCs/>
          <w:snapToGrid w:val="0"/>
          <w:kern w:val="0"/>
          <w:sz w:val="24"/>
          <w:lang w:val="en-US" w:eastAsia="zh-CN"/>
        </w:rPr>
        <w:t>431144</w:t>
      </w:r>
      <w:r>
        <w:rPr>
          <w:rFonts w:hint="default" w:ascii="Times New Roman" w:hAnsi="Times New Roman" w:cs="Times New Roman"/>
          <w:bCs/>
          <w:snapToGrid w:val="0"/>
          <w:color w:val="auto"/>
          <w:kern w:val="0"/>
          <w:sz w:val="24"/>
        </w:rPr>
        <w:t>.00</w:t>
      </w:r>
      <w:r>
        <w:rPr>
          <w:rFonts w:hint="default" w:ascii="Times New Roman" w:hAnsi="Times New Roman" w:cs="Times New Roman"/>
          <w:bCs/>
          <w:snapToGrid w:val="0"/>
          <w:kern w:val="0"/>
          <w:sz w:val="24"/>
        </w:rPr>
        <w:t>元。</w:t>
      </w:r>
    </w:p>
    <w:p>
      <w:pPr>
        <w:numPr>
          <w:ilvl w:val="0"/>
          <w:numId w:val="3"/>
        </w:numPr>
        <w:topLinePunct/>
        <w:spacing w:line="360" w:lineRule="auto"/>
        <w:outlineLvl w:val="1"/>
        <w:rPr>
          <w:rFonts w:hint="default" w:ascii="Times New Roman" w:hAnsi="Times New Roman" w:cs="Times New Roman"/>
          <w:b/>
          <w:bCs/>
          <w:color w:val="auto"/>
          <w:highlight w:val="none"/>
        </w:rPr>
      </w:pPr>
      <w:r>
        <w:rPr>
          <w:rFonts w:hint="default" w:ascii="Times New Roman" w:hAnsi="Times New Roman" w:cs="Times New Roman"/>
          <w:b/>
          <w:snapToGrid w:val="0"/>
          <w:kern w:val="0"/>
          <w:sz w:val="24"/>
        </w:rPr>
        <w:t>技术要求</w:t>
      </w:r>
      <w:bookmarkStart w:id="0" w:name="_Toc421"/>
    </w:p>
    <w:bookmarkEnd w:id="0"/>
    <w:p>
      <w:pPr>
        <w:pStyle w:val="5"/>
        <w:spacing w:line="240" w:lineRule="auto"/>
        <w:rPr>
          <w:rFonts w:hint="default" w:ascii="Times New Roman" w:hAnsi="Times New Roman" w:eastAsia="宋体" w:cs="Times New Roman"/>
          <w:color w:val="auto"/>
          <w:sz w:val="21"/>
          <w:szCs w:val="21"/>
          <w:highlight w:val="none"/>
        </w:rPr>
      </w:pPr>
      <w:bookmarkStart w:id="1" w:name="_Toc29586"/>
      <w:r>
        <w:rPr>
          <w:rFonts w:hint="default" w:ascii="Times New Roman" w:hAnsi="Times New Roman" w:eastAsia="宋体" w:cs="Times New Roman"/>
          <w:color w:val="auto"/>
          <w:sz w:val="21"/>
          <w:szCs w:val="21"/>
          <w:highlight w:val="none"/>
        </w:rPr>
        <w:t>803-17-1 光纤在线监测设备主机</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单台光纤在线监测设备主机满足≤4U高度，最大支持独立的测试通道数量（非光开关轮巡方式）大于等于18个；</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支持双电源输入（双AC 220V、双DC -48V、一交流一直流可选）；</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光纤在线监测设备主机中心波长支持（可选）：13l0nm±20nm，1490nm±20nm 、1550nm±20nm、1625nm±20nm、1650nm±20nm；</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光纤在线监测设备主机动态范围：根据被监测光缆线路中光纤通道的全程传输损耗（dB）和需精确测量时的富余度（dB）来选择，原则上≥38dB；</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系统支持对备用光纤及在线业务光纤的7×24小时实时检测，对被测光纤的长度或者所发生的故障点能够即时告警，并进行精确测量，可对光纤的衰耗进行实时监测和计算，通过系统能直观显示出来；</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系统所发出的测试光脉冲可直接耦合在光纤上进行备用光纤的监测。同时也支持耦合在带有业务的光纤上，对在线业务光纤进行可视化监控而不影响数据传输，并且系统掉电对原业务系统无影响；</w:t>
      </w:r>
    </w:p>
    <w:p>
      <w:pPr>
        <w:numPr>
          <w:ilvl w:val="0"/>
          <w:numId w:val="0"/>
        </w:numPr>
        <w:spacing w:line="240" w:lineRule="auto"/>
        <w:ind w:leftChars="0" w:firstLine="422" w:firstLineChars="200"/>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监测设备主机硬件指标如下：</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动态范围≥40db</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工作波长 1625nm</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有效监测距离 180km（线路总损耗不大于32dB，常温环境下测试时间3分钟）</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事件盲区 3m</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衰减盲区 15m</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告警响应时间≤1min</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测量精度 ±（1m+5×10-5×距离+取样间距）</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可监测通道 ≥128</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设备结构 插卡式结构，每个监测板卡都是的独立监测单元，支持热插拔，方便维修与更换，设备高度不超过4U</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系统组网方式设备集成以太网及2M通道两种组网方式</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工作温度0℃～+50℃</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贮存温度-5℃～+70℃ </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电源 支持220V，48V，主备双电源</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监测主机功耗≤75W</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MTBF≥10年</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测量时间：小于30s；</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被测光纤实时监测刷新时间：小于35s；</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支持- 48V直流/220V交流同时供电。</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设备应保证7×24小时不间断运行。</w:t>
      </w:r>
    </w:p>
    <w:p>
      <w:pPr>
        <w:numPr>
          <w:ilvl w:val="0"/>
          <w:numId w:val="5"/>
        </w:numPr>
        <w:spacing w:line="240" w:lineRule="auto"/>
        <w:ind w:left="420" w:leftChars="0" w:hanging="42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设备的MTBF（平均故障间隔时间）≥10年，MTTR≤0.5h。</w:t>
      </w:r>
    </w:p>
    <w:p>
      <w:pPr>
        <w:pStyle w:val="5"/>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803-17-2</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光纤在线监测业务应用模块</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基于B/S架构，无需安装客户端，可直接通过浏览器访问网管界面，支持多用户同时登录和操作网管，支持使用权限分级管理。</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提供GIS地图中基本的图形操作，放大、缩小、整图、漫游、选择等操作状态。</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远程、实时、在线地进行光缆线路中被监测光纤运行状况的监测，预防光缆线路的故障隐患。</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按规定的周期，光缆智能监测终端向网管传报被监测光缆线路运行状况的数据文件。</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当光缆线路中被监测光纤发生障碍时，光缆智能监测终端迅速、准确地确定故障点的位置，并立即向网管传报。</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配合光缆线路障碍的抢修，压缩故障历时。</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系统可以根据不同时期，不同线路的情况设置不同的障碍分析参数，查询光缆智能监测终端的光缆运行数据文件，自动分析所监测光缆线路劣化的趋势。</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多种测试功能</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点名测试：网管的操作人员选择并遥控某光缆智能监测终端对某被监测光缆线路中某被监测光纤进行即时测试。</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2)</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定期测试：光缆智能监测终端按照远程设置的测试周期、测试的起止时刻和测试参数等设置要求，对被监测光缆线路中各被测光纤进行周期性的自动测试，周期间隔最小1min。</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障碍告警测试：当被监测的光纤发生障碍时，或接收光功率低于设定门限值时，或分析过滤与被监测光缆线路相连接的光传输设备（OTE）的网管系统或监控系统所提供的告警信息并判明可能是光缆线路的障碍时，网管即时启动光缆智能监测终端对该被监测光纤进行测试，并接收回传的测试数据。</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多种监测模式</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在线监测：光缆智能监测终端中OTDR模块的工作波长与在用OTE的工作波长不同，它能实时地对被监测光纤的运行状况进行监测。</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备纤监测：光缆智能监测终端中OTDR模块的工作波长与在用OTE的工作波长相同或不同，它对被监测光缆线路中备用光纤的运行状况进行监测。</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跨段监测：通过配置有源设备和无源光器件后，它对一个光缆段以上的光缆线路进行远程的在线监测、离线监测或备纤监测。</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告警处理</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当被监测的光纤产生故障时，光缆智能监测终端能即时产生告警，并回传到网管；</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具备多级告警，且支持对告警门阈值设置；</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告警回报可排定回报的日程，设定不同的时间回报不同的维护人员；</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告警回报的多种途径：语音播放、短信通知、闪光告警等；</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通信功能</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光缆智能监测终端支持以太网接口、2M接口控制方式，方便工程人员查询完整的设备状态；</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光缆智能监测终端可通过IP网与网管中心联网；</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进行数据通信时，采用TCP/IP协议，确保监控网络设备互通。支持并发TCP连接，以支持多路同时告警。</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图形化管理</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可在GIS地图上对光缆路由途径的各类资源如：站点、管道、光缆、人井、手井、光交接箱、路杆、标石挂墙角铁、地理坐标点进行详细记录，可记录光缆预留盘长。</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历史数据查询</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光缆智能监测系统拥有完备的历史数据，有方便快捷的查询方式，并可以报表的形式打印和保存。</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缆线管理功能</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缆线布线管理功能配合GIS地理信息系统，提供了对光缆、光交接箱、光分线盒、光接头盒等设备信息的编辑查询等功能，并能自动生成光设备的展开图、光缆网络图、路由图及熔接图。</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故障定位功能</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系统精度定位故障点后，系统根据光缆路由上的节点（如人孔、管杆等）距离及光缆绕线冗长，辅以数学运算缩减误差，准确定位出故障点位于那两个节点之间，对故障点在整个资源网络中所影响的其他相关资源情况，系统将以列表形式呈现。</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16 </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决策支持信息</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提供芯线劣化分析、事件劣化分析、故障种类及原因统计等多项决策支持功能。</w:t>
      </w:r>
    </w:p>
    <w:p>
      <w:pPr>
        <w:pStyle w:val="5"/>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803-17-3</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合波器</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1、复用波长（1310、1550）nm/1625nm，不与主设备信号冲突；</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2、设备插入损耗≤1dB；</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3、光纤连接器回波损耗：≥45dB;</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4、单台设备提供4路WDM接入端口</w:t>
      </w:r>
    </w:p>
    <w:bookmarkEnd w:id="1"/>
    <w:p>
      <w:pPr>
        <w:pStyle w:val="5"/>
        <w:spacing w:line="240" w:lineRule="auto"/>
        <w:rPr>
          <w:rFonts w:hint="default" w:ascii="Times New Roman" w:hAnsi="Times New Roman" w:eastAsia="宋体" w:cs="Times New Roman"/>
          <w:color w:val="auto"/>
          <w:sz w:val="21"/>
          <w:szCs w:val="21"/>
          <w:highlight w:val="none"/>
        </w:rPr>
      </w:pPr>
      <w:bookmarkStart w:id="2" w:name="_Toc3771"/>
      <w:r>
        <w:rPr>
          <w:rFonts w:hint="default" w:ascii="Times New Roman" w:hAnsi="Times New Roman" w:eastAsia="宋体" w:cs="Times New Roman"/>
          <w:color w:val="auto"/>
          <w:sz w:val="21"/>
          <w:szCs w:val="21"/>
          <w:highlight w:val="none"/>
        </w:rPr>
        <w:t>803-1</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-4</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光纤监测系统管理平台</w:t>
      </w:r>
      <w:bookmarkEnd w:id="2"/>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系统工作中心波长：1625nm±20nm；</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系统可测试光纤长度≥100KM，可看到光纤的连接点衰减值的跳变，光纤总损耗可以达到27dB；</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系统可支持7×24小时实时地对在用业务光纤运行状况进行监测，单设备最大可配置的测试端口数≥4个，且不能采用光开关等轮询类似部件；</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19英寸标准机框安装，高度1U，支持- 48V直流/220V交流同时供电；</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支持建立多组基准参考指纹，为质量分析提供基础。软件平台上同步以橙色表示指纹，蓝色表示当前状态，可同步实时不间断显示指纹及状态曲线；</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主机本身即可支持对在用业务纤芯进行7×24实时监测，监测主机设备要求内置集成对应测试端口数量的WDM波分复用器，不得配置额外的板卡、机架等辅助设备用于监测机房内在用业务纤芯的接入，即单台监测主机即可完成在用业务纤芯的接入。设备面板上要求配置LC型双排光接口；</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设备插入损耗≤1dB；</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光纤连接器类型：LC型；</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MTBF≥10年；</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设备应当通过国家交通安全设施质量监督检验中心检测，并出具对应的检测报告，同时为明确产品规格，检测报告的产品名称必须包括“光纤在线监测系统控制主机”；</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设备防护等级不低于IP3X级，同时设备应具有完备的电气安全性，绝缘电阻不小于100M欧姆，同时在50Hz、220×（1±15%）V条件下可正常工作，需提供国家交通安全设施质量监督检验中心出具的检测报告予以佐证；</w:t>
      </w:r>
    </w:p>
    <w:p>
      <w:pPr>
        <w:numPr>
          <w:ilvl w:val="0"/>
          <w:numId w:val="6"/>
        </w:numPr>
        <w:adjustRightInd w:val="0"/>
        <w:spacing w:line="240" w:lineRule="auto"/>
        <w:ind w:left="0" w:firstLine="420"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工作温度0℃～ +50℃；</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相对湿度：+25℃时5%~90%（无冷凝）。</w:t>
      </w:r>
    </w:p>
    <w:p>
      <w:pPr>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803-18 4G切换设备</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-支持最大 16个 10/100/1000M自适用以太网口，最大 4 个千兆上联光口，1 路 4G 无线路由接口。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-多重路由保护机制：光纤/双绞线环网冗余保护+光纤/无线主备切换保护切换保护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-低切换时间，光纤冗余保护切换时间低于 60ms，光纤/无线冗余保护切换时间低于 10s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-嵌入式防火墙功能：支持 MAC/IP 地址/端口过滤，端口映射，端口转发，URL 过滤，DMZ 等防火墙功能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-具备手动光纤/4G 传输切换功能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-自动智能切换保护技术：只有在光纤传输路由失效，并且冗余光纤路由传输也失效的情形下启动 4G 无线进行数据传输，从而大大减少了无线流量，大大节约长期使用费用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-极宽的极限工作温度范围，工作温度达-40℃ ~ 85 ℃极宽的温度下长期稳定运行。 </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-电口支持 POE 馈电，自适应兼容 802.3AF/AT 标准。 </w:t>
      </w:r>
    </w:p>
    <w:p>
      <w:pPr>
        <w:numPr>
          <w:ilvl w:val="0"/>
          <w:numId w:val="7"/>
        </w:numPr>
        <w:shd w:val="clear" w:color="auto" w:fill="FFFFFF"/>
        <w:spacing w:line="360" w:lineRule="auto"/>
        <w:ind w:left="0" w:firstLine="420" w:firstLineChars="200"/>
        <w:rPr>
          <w:rFonts w:hint="default" w:ascii="Times New Roman" w:hAnsi="Times New Roman" w:eastAsia="宋体" w:cs="Times New Roman"/>
          <w:b/>
          <w:snapToGrid w:val="0"/>
          <w:kern w:val="0"/>
          <w:sz w:val="21"/>
          <w:szCs w:val="21"/>
        </w:rPr>
      </w:pPr>
      <w:r>
        <w:rPr>
          <w:rFonts w:hint="default" w:ascii="Times New Roman" w:hAnsi="Times New Roman" w:eastAsia="宋体" w:cs="Times New Roman"/>
          <w:color w:val="auto"/>
          <w:sz w:val="21"/>
          <w:szCs w:val="21"/>
          <w:highlight w:val="none"/>
        </w:rPr>
        <w:t>-支持双绞线、光纤和 4G 之间的手动/自动切换。</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供应商资格条件</w:t>
      </w:r>
    </w:p>
    <w:p>
      <w:pPr>
        <w:pStyle w:val="8"/>
        <w:ind w:firstLine="480"/>
        <w:rPr>
          <w:rFonts w:hint="default" w:ascii="Times New Roman" w:hAnsi="Times New Roman" w:cs="Times New Roman"/>
        </w:rPr>
      </w:pPr>
      <w:r>
        <w:rPr>
          <w:rFonts w:hint="default" w:ascii="Times New Roman" w:hAnsi="Times New Roman"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sz w:val="24"/>
        </w:rPr>
        <w:t>凡有意参加本次采购且具备履行本项目能力的供应商，请</w:t>
      </w:r>
      <w:r>
        <w:rPr>
          <w:rFonts w:hint="default" w:ascii="Times New Roman" w:hAnsi="Times New Roman" w:cs="Times New Roman"/>
          <w:color w:val="000000"/>
          <w:sz w:val="24"/>
        </w:rPr>
        <w:t>将附于本公告后的响应回执在</w:t>
      </w:r>
      <w:r>
        <w:rPr>
          <w:rFonts w:hint="default" w:ascii="Times New Roman" w:hAnsi="Times New Roman" w:cs="Times New Roman"/>
          <w:color w:val="000000"/>
          <w:sz w:val="24"/>
          <w:u w:val="single"/>
        </w:rPr>
        <w:t>2023年</w:t>
      </w:r>
      <w:r>
        <w:rPr>
          <w:rFonts w:hint="default" w:ascii="Times New Roman" w:hAnsi="Times New Roman" w:cs="Times New Roman"/>
          <w:color w:val="000000"/>
          <w:sz w:val="24"/>
          <w:u w:val="single"/>
          <w:lang w:val="en-US" w:eastAsia="zh-CN"/>
        </w:rPr>
        <w:t>04</w:t>
      </w:r>
      <w:r>
        <w:rPr>
          <w:rFonts w:hint="default" w:ascii="Times New Roman" w:hAnsi="Times New Roman" w:cs="Times New Roman"/>
          <w:color w:val="000000"/>
          <w:sz w:val="24"/>
          <w:u w:val="single"/>
        </w:rPr>
        <w:t>月</w:t>
      </w:r>
      <w:r>
        <w:rPr>
          <w:rFonts w:hint="eastAsia" w:ascii="Times New Roman" w:hAnsi="Times New Roman" w:cs="Times New Roman"/>
          <w:color w:val="000000"/>
          <w:sz w:val="24"/>
          <w:u w:val="single"/>
          <w:lang w:val="en-US" w:eastAsia="zh-CN"/>
        </w:rPr>
        <w:t>27</w:t>
      </w:r>
      <w:r>
        <w:rPr>
          <w:rFonts w:hint="default" w:ascii="Times New Roman" w:hAnsi="Times New Roman" w:cs="Times New Roman"/>
          <w:color w:val="000000"/>
          <w:sz w:val="24"/>
          <w:u w:val="single"/>
          <w:lang w:val="en-US" w:eastAsia="zh-CN"/>
        </w:rPr>
        <w:t xml:space="preserve"> </w:t>
      </w:r>
      <w:r>
        <w:rPr>
          <w:rFonts w:hint="default" w:ascii="Times New Roman" w:hAnsi="Times New Roman" w:cs="Times New Roman"/>
          <w:color w:val="000000"/>
          <w:sz w:val="24"/>
          <w:u w:val="single"/>
        </w:rPr>
        <w:t>日</w:t>
      </w:r>
      <w:r>
        <w:rPr>
          <w:rFonts w:hint="default" w:ascii="Times New Roman" w:hAnsi="Times New Roman" w:cs="Times New Roman"/>
          <w:color w:val="000000"/>
          <w:sz w:val="24"/>
          <w:u w:val="single"/>
          <w:lang w:val="en-US" w:eastAsia="zh-CN"/>
        </w:rPr>
        <w:t>16</w:t>
      </w:r>
      <w:r>
        <w:rPr>
          <w:rFonts w:hint="default" w:ascii="Times New Roman" w:hAnsi="Times New Roman" w:cs="Times New Roman"/>
          <w:color w:val="000000"/>
          <w:sz w:val="24"/>
          <w:u w:val="single"/>
        </w:rPr>
        <w:t>：00</w:t>
      </w:r>
      <w:r>
        <w:rPr>
          <w:rFonts w:hint="default" w:ascii="Times New Roman" w:hAnsi="Times New Roman" w:cs="Times New Roman"/>
          <w:color w:val="000000"/>
          <w:sz w:val="24"/>
        </w:rPr>
        <w:t>之前发送至采购人邮箱：</w:t>
      </w:r>
      <w:r>
        <w:rPr>
          <w:rFonts w:hint="eastAsia" w:ascii="Times New Roman" w:hAnsi="Times New Roman" w:cs="Times New Roman"/>
          <w:color w:val="000000"/>
          <w:sz w:val="24"/>
          <w:lang w:val="en-US" w:eastAsia="zh-CN"/>
        </w:rPr>
        <w:t>1204355776</w:t>
      </w:r>
      <w:r>
        <w:rPr>
          <w:rFonts w:hint="default" w:ascii="Times New Roman" w:hAnsi="Times New Roman" w:cs="Times New Roman"/>
          <w:snapToGrid w:val="0"/>
          <w:color w:val="000000"/>
          <w:kern w:val="0"/>
          <w:sz w:val="24"/>
        </w:rPr>
        <w:t>@</w:t>
      </w:r>
      <w:r>
        <w:rPr>
          <w:rFonts w:hint="eastAsia" w:ascii="Times New Roman" w:hAnsi="Times New Roman" w:cs="Times New Roman"/>
          <w:snapToGrid w:val="0"/>
          <w:color w:val="000000"/>
          <w:kern w:val="0"/>
          <w:sz w:val="24"/>
          <w:lang w:val="en-US" w:eastAsia="zh-CN"/>
        </w:rPr>
        <w:t>qq</w:t>
      </w:r>
      <w:r>
        <w:rPr>
          <w:rFonts w:hint="default" w:ascii="Times New Roman" w:hAnsi="Times New Roman" w:cs="Times New Roman"/>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cs="Times New Roman"/>
          <w:b/>
          <w:snapToGrid w:val="0"/>
          <w:kern w:val="0"/>
          <w:sz w:val="24"/>
        </w:rPr>
      </w:pPr>
      <w:bookmarkStart w:id="3" w:name="_Toc332965960"/>
      <w:bookmarkStart w:id="4" w:name="_Toc332793891"/>
      <w:bookmarkStart w:id="5" w:name="_Toc332793818"/>
      <w:r>
        <w:rPr>
          <w:rFonts w:hint="default" w:ascii="Times New Roman" w:hAnsi="Times New Roman" w:cs="Times New Roman"/>
          <w:b/>
          <w:snapToGrid w:val="0"/>
          <w:kern w:val="0"/>
          <w:sz w:val="24"/>
        </w:rPr>
        <w:t>联系方式</w:t>
      </w:r>
      <w:bookmarkEnd w:id="3"/>
      <w:bookmarkEnd w:id="4"/>
      <w:bookmarkEnd w:id="5"/>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  人：广东诚泰交通科技发展有限公司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采购人地址：广州市番禺区洛浦街道北环路87号道路研究院二号楼</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联  系  人：</w:t>
      </w:r>
      <w:r>
        <w:rPr>
          <w:rFonts w:hint="eastAsia" w:ascii="Times New Roman" w:hAnsi="Times New Roman" w:cs="Times New Roman"/>
          <w:color w:val="000000"/>
          <w:sz w:val="24"/>
          <w:lang w:val="en-US" w:eastAsia="zh-CN"/>
        </w:rPr>
        <w:t>刘</w:t>
      </w:r>
      <w:r>
        <w:rPr>
          <w:rFonts w:hint="default" w:ascii="Times New Roman" w:hAnsi="Times New Roman" w:cs="Times New Roman"/>
          <w:color w:val="000000"/>
          <w:sz w:val="24"/>
        </w:rPr>
        <w:t>工</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电      话：020-39185740</w:t>
      </w:r>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rPr>
        <w:t>广东诚泰交通科技发展有限公司</w:t>
      </w:r>
    </w:p>
    <w:p>
      <w:pPr>
        <w:topLinePunct/>
        <w:spacing w:line="360" w:lineRule="auto"/>
        <w:jc w:val="center"/>
        <w:rPr>
          <w:rFonts w:hint="default" w:ascii="Times New Roman" w:hAnsi="Times New Roman" w:cs="Times New Roman"/>
          <w:color w:val="000000"/>
          <w:sz w:val="24"/>
        </w:rPr>
      </w:pPr>
      <w:r>
        <w:rPr>
          <w:rFonts w:hint="default" w:ascii="Times New Roman" w:hAnsi="Times New Roman" w:cs="Times New Roman"/>
          <w:color w:val="000000"/>
          <w:sz w:val="24"/>
        </w:rPr>
        <w:t xml:space="preserve">                                              2023年</w:t>
      </w:r>
      <w:r>
        <w:rPr>
          <w:rFonts w:hint="default" w:ascii="Times New Roman" w:hAnsi="Times New Roman" w:cs="Times New Roman"/>
          <w:color w:val="000000"/>
          <w:sz w:val="24"/>
          <w:lang w:val="en-US" w:eastAsia="zh-CN"/>
        </w:rPr>
        <w:t>04</w:t>
      </w:r>
      <w:r>
        <w:rPr>
          <w:rFonts w:hint="default" w:ascii="Times New Roman" w:hAnsi="Times New Roman" w:cs="Times New Roman"/>
          <w:color w:val="000000"/>
          <w:sz w:val="24"/>
        </w:rPr>
        <w:t>月</w:t>
      </w:r>
      <w:r>
        <w:rPr>
          <w:rFonts w:hint="eastAsia" w:ascii="Times New Roman" w:hAnsi="Times New Roman" w:cs="Times New Roman"/>
          <w:color w:val="000000"/>
          <w:sz w:val="24"/>
          <w:lang w:val="en-US" w:eastAsia="zh-CN"/>
        </w:rPr>
        <w:t>26</w:t>
      </w:r>
      <w:r>
        <w:rPr>
          <w:rFonts w:hint="default" w:ascii="Times New Roman" w:hAnsi="Times New Roman" w:cs="Times New Roman"/>
          <w:color w:val="000000"/>
          <w:sz w:val="24"/>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5FF6ADD"/>
    <w:multiLevelType w:val="singleLevel"/>
    <w:tmpl w:val="C5FF6ADD"/>
    <w:lvl w:ilvl="0" w:tentative="0">
      <w:start w:val="1"/>
      <w:numFmt w:val="bullet"/>
      <w:lvlText w:val=""/>
      <w:lvlJc w:val="left"/>
      <w:pPr>
        <w:ind w:left="420" w:hanging="420"/>
      </w:pPr>
      <w:rPr>
        <w:rFonts w:hint="default" w:ascii="Wingdings" w:hAnsi="Wingdings"/>
      </w:rPr>
    </w:lvl>
  </w:abstractNum>
  <w:abstractNum w:abstractNumId="2">
    <w:nsid w:val="CEC06D5F"/>
    <w:multiLevelType w:val="singleLevel"/>
    <w:tmpl w:val="CEC06D5F"/>
    <w:lvl w:ilvl="0" w:tentative="0">
      <w:start w:val="1"/>
      <w:numFmt w:val="decimal"/>
      <w:suff w:val="nothing"/>
      <w:lvlText w:val="（%1）"/>
      <w:lvlJc w:val="left"/>
    </w:lvl>
  </w:abstractNum>
  <w:abstractNum w:abstractNumId="3">
    <w:nsid w:val="013C0320"/>
    <w:multiLevelType w:val="multilevel"/>
    <w:tmpl w:val="013C032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5">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6">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4"/>
  </w:num>
  <w:num w:numId="2">
    <w:abstractNumId w:val="6"/>
  </w:num>
  <w:num w:numId="3">
    <w:abstractNumId w:val="0"/>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3393105"/>
    <w:rsid w:val="045E538D"/>
    <w:rsid w:val="046E3765"/>
    <w:rsid w:val="061439B5"/>
    <w:rsid w:val="06622CB2"/>
    <w:rsid w:val="072D08E0"/>
    <w:rsid w:val="07CD2773"/>
    <w:rsid w:val="08EE3671"/>
    <w:rsid w:val="0A69025B"/>
    <w:rsid w:val="0DA26991"/>
    <w:rsid w:val="0ECB4993"/>
    <w:rsid w:val="112A7044"/>
    <w:rsid w:val="12ED5CBA"/>
    <w:rsid w:val="14C447F8"/>
    <w:rsid w:val="18606150"/>
    <w:rsid w:val="19B32EC3"/>
    <w:rsid w:val="1A786886"/>
    <w:rsid w:val="1D5379E4"/>
    <w:rsid w:val="1DC008E5"/>
    <w:rsid w:val="1F3E25C9"/>
    <w:rsid w:val="1F8905C9"/>
    <w:rsid w:val="20205D7D"/>
    <w:rsid w:val="2039362C"/>
    <w:rsid w:val="24875F4B"/>
    <w:rsid w:val="28126A09"/>
    <w:rsid w:val="28F214DC"/>
    <w:rsid w:val="292922C2"/>
    <w:rsid w:val="2A6117E0"/>
    <w:rsid w:val="2A9C2048"/>
    <w:rsid w:val="2B975488"/>
    <w:rsid w:val="2BB05A29"/>
    <w:rsid w:val="2BBE1469"/>
    <w:rsid w:val="2C101B15"/>
    <w:rsid w:val="2D393A69"/>
    <w:rsid w:val="2E0860D1"/>
    <w:rsid w:val="2E5A20BA"/>
    <w:rsid w:val="2ECB5FE2"/>
    <w:rsid w:val="33242BDA"/>
    <w:rsid w:val="34403FA4"/>
    <w:rsid w:val="34DB5F68"/>
    <w:rsid w:val="35912415"/>
    <w:rsid w:val="359D16B0"/>
    <w:rsid w:val="38A511DA"/>
    <w:rsid w:val="3A7D6982"/>
    <w:rsid w:val="3BDA652C"/>
    <w:rsid w:val="3C047712"/>
    <w:rsid w:val="3DD1395F"/>
    <w:rsid w:val="3E8C010F"/>
    <w:rsid w:val="3EFD65C9"/>
    <w:rsid w:val="400E2C48"/>
    <w:rsid w:val="403A795B"/>
    <w:rsid w:val="4044389B"/>
    <w:rsid w:val="40C03B09"/>
    <w:rsid w:val="42100EF9"/>
    <w:rsid w:val="434B112E"/>
    <w:rsid w:val="435E6014"/>
    <w:rsid w:val="465E5624"/>
    <w:rsid w:val="46C97C03"/>
    <w:rsid w:val="472B5FAC"/>
    <w:rsid w:val="48AD79E8"/>
    <w:rsid w:val="4908486B"/>
    <w:rsid w:val="49DC5C4D"/>
    <w:rsid w:val="4A44006F"/>
    <w:rsid w:val="4A860AB7"/>
    <w:rsid w:val="4BFB311F"/>
    <w:rsid w:val="4DA31AFF"/>
    <w:rsid w:val="4DB34E2F"/>
    <w:rsid w:val="50DE6FEF"/>
    <w:rsid w:val="50E310BB"/>
    <w:rsid w:val="515756D7"/>
    <w:rsid w:val="52871060"/>
    <w:rsid w:val="52BF1F4D"/>
    <w:rsid w:val="52ED4007"/>
    <w:rsid w:val="54210D44"/>
    <w:rsid w:val="560F1B9D"/>
    <w:rsid w:val="57BF2D4E"/>
    <w:rsid w:val="58B74CBC"/>
    <w:rsid w:val="5A8D0DD8"/>
    <w:rsid w:val="5B2814D9"/>
    <w:rsid w:val="5BAE6330"/>
    <w:rsid w:val="5E8E770E"/>
    <w:rsid w:val="5F087C2D"/>
    <w:rsid w:val="61147E15"/>
    <w:rsid w:val="61B34FA6"/>
    <w:rsid w:val="623B7383"/>
    <w:rsid w:val="63166D1A"/>
    <w:rsid w:val="65922BE0"/>
    <w:rsid w:val="6AC87D14"/>
    <w:rsid w:val="6C083654"/>
    <w:rsid w:val="6C094604"/>
    <w:rsid w:val="6C751B3B"/>
    <w:rsid w:val="6E354925"/>
    <w:rsid w:val="6E4A295F"/>
    <w:rsid w:val="710B2708"/>
    <w:rsid w:val="724471CD"/>
    <w:rsid w:val="74963E13"/>
    <w:rsid w:val="760D37CC"/>
    <w:rsid w:val="79E2018B"/>
    <w:rsid w:val="7AB074F6"/>
    <w:rsid w:val="7B034450"/>
    <w:rsid w:val="7C7F737F"/>
    <w:rsid w:val="7DD345AE"/>
    <w:rsid w:val="7E7713DD"/>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41"/>
    <w:basedOn w:val="14"/>
    <w:qFormat/>
    <w:uiPriority w:val="0"/>
    <w:rPr>
      <w:rFonts w:hint="default" w:ascii="Times New Roman" w:hAnsi="Times New Roman" w:cs="Times New Roman"/>
      <w:color w:val="000000"/>
      <w:sz w:val="18"/>
      <w:szCs w:val="18"/>
      <w:u w:val="none"/>
    </w:rPr>
  </w:style>
  <w:style w:type="character" w:customStyle="1" w:styleId="41">
    <w:name w:val="font31"/>
    <w:basedOn w:val="14"/>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3408</Words>
  <Characters>3887</Characters>
  <Lines>61</Lines>
  <Paragraphs>17</Paragraphs>
  <TotalTime>1</TotalTime>
  <ScaleCrop>false</ScaleCrop>
  <LinksUpToDate>false</LinksUpToDate>
  <CharactersWithSpaces>4007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2023-04-26T07:46:54Z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