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宋体" w:cs="Times New Roman"/>
          <w:b/>
          <w:color w:val="000000"/>
          <w:sz w:val="32"/>
          <w:szCs w:val="32"/>
        </w:rPr>
      </w:pPr>
      <w:r>
        <w:rPr>
          <w:rFonts w:hint="default" w:ascii="Times New Roman" w:hAnsi="Times New Roman" w:eastAsia="宋体" w:cs="Times New Roman"/>
          <w:b/>
          <w:color w:val="000000"/>
          <w:sz w:val="32"/>
          <w:szCs w:val="32"/>
          <w:lang w:eastAsia="zh-CN"/>
        </w:rPr>
        <w:t>广州市从化至黄埔高速公路一期工程机电工程（SG09合同段）</w:t>
      </w:r>
      <w:r>
        <w:rPr>
          <w:rFonts w:hint="default" w:ascii="Times New Roman" w:hAnsi="Times New Roman" w:eastAsia="宋体" w:cs="Times New Roman"/>
          <w:b/>
          <w:color w:val="000000"/>
          <w:sz w:val="32"/>
          <w:szCs w:val="32"/>
          <w:lang w:val="en-US" w:eastAsia="zh-CN"/>
        </w:rPr>
        <w:t>车道控制器、栏杆机、发卡机、缴费机、车检器</w:t>
      </w:r>
      <w:r>
        <w:rPr>
          <w:rFonts w:hint="default" w:ascii="Times New Roman" w:hAnsi="Times New Roman" w:eastAsia="宋体" w:cs="Times New Roman"/>
          <w:b/>
          <w:color w:val="000000"/>
          <w:sz w:val="32"/>
          <w:szCs w:val="32"/>
        </w:rPr>
        <w:t>采购意向征集公告</w:t>
      </w:r>
    </w:p>
    <w:p>
      <w:pPr>
        <w:spacing w:line="360" w:lineRule="auto"/>
        <w:jc w:val="center"/>
        <w:outlineLvl w:val="1"/>
        <w:rPr>
          <w:rFonts w:hint="default" w:ascii="Times New Roman" w:hAnsi="Times New Roman" w:eastAsia="宋体" w:cs="Times New Roman"/>
          <w:sz w:val="24"/>
        </w:rPr>
      </w:pPr>
    </w:p>
    <w:p>
      <w:pPr>
        <w:numPr>
          <w:ilvl w:val="0"/>
          <w:numId w:val="3"/>
        </w:numPr>
        <w:topLinePunct/>
        <w:spacing w:line="360" w:lineRule="auto"/>
        <w:outlineLvl w:val="1"/>
        <w:rPr>
          <w:rFonts w:hint="default" w:ascii="Times New Roman" w:hAnsi="Times New Roman" w:eastAsia="宋体" w:cs="Times New Roman"/>
          <w:b/>
          <w:snapToGrid w:val="0"/>
          <w:kern w:val="0"/>
          <w:sz w:val="24"/>
        </w:rPr>
      </w:pPr>
      <w:r>
        <w:rPr>
          <w:rFonts w:hint="default" w:ascii="Times New Roman" w:hAnsi="Times New Roman" w:eastAsia="宋体" w:cs="Times New Roman"/>
          <w:b/>
          <w:snapToGrid w:val="0"/>
          <w:kern w:val="0"/>
          <w:sz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rPr>
      </w:pPr>
      <w:r>
        <w:rPr>
          <w:rFonts w:hint="default" w:ascii="Times New Roman" w:hAnsi="Times New Roman" w:eastAsia="宋体" w:cs="Times New Roman"/>
          <w:bCs/>
          <w:snapToGrid w:val="0"/>
          <w:kern w:val="0"/>
          <w:sz w:val="24"/>
        </w:rPr>
        <w:t>1.1项目名称：</w:t>
      </w:r>
      <w:r>
        <w:rPr>
          <w:rFonts w:hint="default" w:ascii="Times New Roman" w:hAnsi="Times New Roman" w:eastAsia="宋体" w:cs="Times New Roman"/>
          <w:bCs/>
          <w:snapToGrid w:val="0"/>
          <w:kern w:val="0"/>
          <w:sz w:val="24"/>
          <w:lang w:eastAsia="zh-CN"/>
        </w:rPr>
        <w:t>广州市从化至黄埔高速公路一期工程机电工程（SG09合同段）</w:t>
      </w:r>
    </w:p>
    <w:p>
      <w:pPr>
        <w:wordWrap w:val="0"/>
        <w:topLinePunct/>
        <w:spacing w:line="360" w:lineRule="auto"/>
        <w:ind w:firstLine="566" w:firstLineChars="236"/>
        <w:rPr>
          <w:rFonts w:hint="default" w:ascii="Times New Roman" w:hAnsi="Times New Roman" w:eastAsia="宋体" w:cs="Times New Roman"/>
        </w:rPr>
      </w:pPr>
      <w:r>
        <w:rPr>
          <w:rFonts w:hint="default" w:ascii="Times New Roman" w:hAnsi="Times New Roman" w:eastAsia="宋体" w:cs="Times New Roman"/>
          <w:bCs/>
          <w:snapToGrid w:val="0"/>
          <w:kern w:val="0"/>
          <w:sz w:val="24"/>
        </w:rPr>
        <w:t>1.2项目地点：广州市</w:t>
      </w:r>
    </w:p>
    <w:p>
      <w:pPr>
        <w:numPr>
          <w:ilvl w:val="0"/>
          <w:numId w:val="3"/>
        </w:numPr>
        <w:topLinePunct/>
        <w:spacing w:line="360" w:lineRule="auto"/>
        <w:outlineLvl w:val="1"/>
        <w:rPr>
          <w:rFonts w:hint="default" w:ascii="Times New Roman" w:hAnsi="Times New Roman" w:eastAsia="宋体" w:cs="Times New Roman"/>
          <w:b/>
        </w:rPr>
      </w:pPr>
      <w:r>
        <w:rPr>
          <w:rFonts w:hint="default" w:ascii="Times New Roman" w:hAnsi="Times New Roman" w:eastAsia="宋体" w:cs="Times New Roman"/>
          <w:b/>
          <w:snapToGrid w:val="0"/>
          <w:kern w:val="0"/>
          <w:sz w:val="24"/>
        </w:rPr>
        <w:t>具体工程量清单</w:t>
      </w:r>
    </w:p>
    <w:tbl>
      <w:tblPr>
        <w:tblStyle w:val="15"/>
        <w:tblW w:w="73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6"/>
        <w:gridCol w:w="1760"/>
        <w:gridCol w:w="1232"/>
        <w:gridCol w:w="762"/>
        <w:gridCol w:w="930"/>
        <w:gridCol w:w="14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156" w:type="dxa"/>
            <w:shd w:val="clear" w:color="auto" w:fill="auto"/>
            <w:vAlign w:val="center"/>
          </w:tcPr>
          <w:p>
            <w:pPr>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序号</w:t>
            </w:r>
          </w:p>
        </w:tc>
        <w:tc>
          <w:tcPr>
            <w:tcW w:w="1760" w:type="dxa"/>
            <w:shd w:val="clear" w:color="auto" w:fill="auto"/>
            <w:vAlign w:val="center"/>
          </w:tcPr>
          <w:p>
            <w:pPr>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lang w:eastAsia="zh-CN"/>
              </w:rPr>
              <w:t>设备</w:t>
            </w:r>
            <w:r>
              <w:rPr>
                <w:rFonts w:hint="default" w:ascii="Times New Roman" w:hAnsi="Times New Roman" w:eastAsia="宋体" w:cs="Times New Roman"/>
                <w:szCs w:val="21"/>
              </w:rPr>
              <w:t>名称</w:t>
            </w:r>
          </w:p>
        </w:tc>
        <w:tc>
          <w:tcPr>
            <w:tcW w:w="1232" w:type="dxa"/>
            <w:shd w:val="clear" w:color="auto" w:fill="auto"/>
            <w:vAlign w:val="center"/>
          </w:tcPr>
          <w:p>
            <w:pPr>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品牌/型号</w:t>
            </w:r>
          </w:p>
        </w:tc>
        <w:tc>
          <w:tcPr>
            <w:tcW w:w="762" w:type="dxa"/>
            <w:shd w:val="clear" w:color="auto" w:fill="auto"/>
            <w:vAlign w:val="center"/>
          </w:tcPr>
          <w:p>
            <w:pPr>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单位</w:t>
            </w:r>
          </w:p>
        </w:tc>
        <w:tc>
          <w:tcPr>
            <w:tcW w:w="930" w:type="dxa"/>
            <w:shd w:val="clear" w:color="auto" w:fill="auto"/>
            <w:vAlign w:val="center"/>
          </w:tcPr>
          <w:p>
            <w:pPr>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数量</w:t>
            </w:r>
          </w:p>
        </w:tc>
        <w:tc>
          <w:tcPr>
            <w:tcW w:w="1473" w:type="dxa"/>
            <w:shd w:val="clear" w:color="auto" w:fill="auto"/>
            <w:vAlign w:val="center"/>
          </w:tcPr>
          <w:p>
            <w:pPr>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56"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802-3-4-1</w:t>
            </w:r>
          </w:p>
        </w:tc>
        <w:tc>
          <w:tcPr>
            <w:tcW w:w="1760"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三合一栏杆机</w:t>
            </w:r>
          </w:p>
        </w:tc>
        <w:tc>
          <w:tcPr>
            <w:tcW w:w="1232"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lang w:val="en-US" w:eastAsia="zh-CN"/>
              </w:rPr>
            </w:pPr>
          </w:p>
        </w:tc>
        <w:tc>
          <w:tcPr>
            <w:tcW w:w="762"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套</w:t>
            </w:r>
          </w:p>
        </w:tc>
        <w:tc>
          <w:tcPr>
            <w:tcW w:w="930"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31</w:t>
            </w:r>
          </w:p>
        </w:tc>
        <w:tc>
          <w:tcPr>
            <w:tcW w:w="147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56"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802-3-4-2</w:t>
            </w:r>
          </w:p>
        </w:tc>
        <w:tc>
          <w:tcPr>
            <w:tcW w:w="1760"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自动栏杆（拒超车道）</w:t>
            </w:r>
          </w:p>
        </w:tc>
        <w:tc>
          <w:tcPr>
            <w:tcW w:w="1232"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b w:val="0"/>
                <w:bCs w:val="0"/>
                <w:kern w:val="2"/>
                <w:sz w:val="21"/>
                <w:szCs w:val="21"/>
                <w:lang w:val="en-US" w:eastAsia="zh-CN" w:bidi="ar-SA"/>
              </w:rPr>
            </w:pPr>
          </w:p>
        </w:tc>
        <w:tc>
          <w:tcPr>
            <w:tcW w:w="762"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套</w:t>
            </w:r>
          </w:p>
        </w:tc>
        <w:tc>
          <w:tcPr>
            <w:tcW w:w="930"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47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56"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802-3-21</w:t>
            </w:r>
          </w:p>
        </w:tc>
        <w:tc>
          <w:tcPr>
            <w:tcW w:w="1760"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自助发卡机</w:t>
            </w:r>
          </w:p>
        </w:tc>
        <w:tc>
          <w:tcPr>
            <w:tcW w:w="1232"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b w:val="0"/>
                <w:bCs w:val="0"/>
                <w:kern w:val="2"/>
                <w:sz w:val="21"/>
                <w:szCs w:val="21"/>
                <w:lang w:val="en-US" w:eastAsia="zh-CN" w:bidi="ar-SA"/>
              </w:rPr>
            </w:pPr>
          </w:p>
        </w:tc>
        <w:tc>
          <w:tcPr>
            <w:tcW w:w="762"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套</w:t>
            </w:r>
          </w:p>
        </w:tc>
        <w:tc>
          <w:tcPr>
            <w:tcW w:w="930"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147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56"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802-3-22</w:t>
            </w:r>
          </w:p>
        </w:tc>
        <w:tc>
          <w:tcPr>
            <w:tcW w:w="1760"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自助缴费机</w:t>
            </w:r>
          </w:p>
        </w:tc>
        <w:tc>
          <w:tcPr>
            <w:tcW w:w="1232"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b w:val="0"/>
                <w:bCs w:val="0"/>
                <w:kern w:val="2"/>
                <w:sz w:val="21"/>
                <w:szCs w:val="21"/>
                <w:lang w:val="en-US" w:eastAsia="zh-CN" w:bidi="ar-SA"/>
              </w:rPr>
            </w:pPr>
          </w:p>
        </w:tc>
        <w:tc>
          <w:tcPr>
            <w:tcW w:w="762"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套</w:t>
            </w:r>
          </w:p>
        </w:tc>
        <w:tc>
          <w:tcPr>
            <w:tcW w:w="930"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47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56"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802-3-1</w:t>
            </w:r>
          </w:p>
        </w:tc>
        <w:tc>
          <w:tcPr>
            <w:tcW w:w="1760"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车道控制器</w:t>
            </w:r>
          </w:p>
        </w:tc>
        <w:tc>
          <w:tcPr>
            <w:tcW w:w="1232"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b w:val="0"/>
                <w:bCs w:val="0"/>
                <w:kern w:val="2"/>
                <w:sz w:val="21"/>
                <w:szCs w:val="21"/>
                <w:lang w:val="en-US" w:eastAsia="zh-CN" w:bidi="ar-SA"/>
              </w:rPr>
            </w:pPr>
          </w:p>
        </w:tc>
        <w:tc>
          <w:tcPr>
            <w:tcW w:w="762"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套</w:t>
            </w:r>
          </w:p>
        </w:tc>
        <w:tc>
          <w:tcPr>
            <w:tcW w:w="930"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47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56"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804-5-1-2</w:t>
            </w:r>
          </w:p>
        </w:tc>
        <w:tc>
          <w:tcPr>
            <w:tcW w:w="1760"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环形线圈车辆检测器（单通道）</w:t>
            </w:r>
          </w:p>
        </w:tc>
        <w:tc>
          <w:tcPr>
            <w:tcW w:w="1232"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b w:val="0"/>
                <w:bCs w:val="0"/>
                <w:kern w:val="2"/>
                <w:sz w:val="21"/>
                <w:szCs w:val="21"/>
                <w:lang w:val="en-US" w:eastAsia="zh-CN" w:bidi="ar-SA"/>
              </w:rPr>
            </w:pPr>
          </w:p>
        </w:tc>
        <w:tc>
          <w:tcPr>
            <w:tcW w:w="762"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套</w:t>
            </w:r>
          </w:p>
        </w:tc>
        <w:tc>
          <w:tcPr>
            <w:tcW w:w="930"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160</w:t>
            </w:r>
          </w:p>
        </w:tc>
        <w:tc>
          <w:tcPr>
            <w:tcW w:w="147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18"/>
                <w:szCs w:val="18"/>
                <w:lang w:val="en-US" w:eastAsia="zh-CN"/>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rPr>
      </w:pPr>
      <w:r>
        <w:rPr>
          <w:rFonts w:hint="default" w:ascii="Times New Roman" w:hAnsi="Times New Roman" w:eastAsia="宋体" w:cs="Times New Roman"/>
          <w:bCs/>
          <w:snapToGrid w:val="0"/>
          <w:kern w:val="0"/>
          <w:sz w:val="24"/>
        </w:rPr>
        <w:t>清单说明：</w:t>
      </w:r>
    </w:p>
    <w:p>
      <w:pPr>
        <w:numPr>
          <w:ilvl w:val="0"/>
          <w:numId w:val="4"/>
        </w:numPr>
        <w:wordWrap w:val="0"/>
        <w:topLinePunct/>
        <w:spacing w:line="360" w:lineRule="auto"/>
        <w:ind w:firstLine="566" w:firstLineChars="236"/>
        <w:rPr>
          <w:rFonts w:hint="default" w:ascii="Times New Roman" w:hAnsi="Times New Roman" w:eastAsia="宋体" w:cs="Times New Roman"/>
        </w:rPr>
      </w:pPr>
      <w:r>
        <w:rPr>
          <w:rFonts w:hint="default" w:ascii="Times New Roman" w:hAnsi="Times New Roman" w:eastAsia="宋体" w:cs="Times New Roman"/>
          <w:bCs/>
          <w:snapToGrid w:val="0"/>
          <w:kern w:val="0"/>
          <w:sz w:val="24"/>
        </w:rPr>
        <w:t>包括运输、</w:t>
      </w:r>
      <w:r>
        <w:rPr>
          <w:rFonts w:hint="default" w:ascii="Times New Roman" w:hAnsi="Times New Roman" w:eastAsia="宋体" w:cs="Times New Roman"/>
          <w:bCs/>
          <w:snapToGrid w:val="0"/>
          <w:kern w:val="0"/>
          <w:sz w:val="24"/>
          <w:lang w:val="en-US" w:eastAsia="zh-CN"/>
        </w:rPr>
        <w:t>指导安装调试费、</w:t>
      </w:r>
      <w:r>
        <w:rPr>
          <w:rFonts w:hint="default" w:ascii="Times New Roman" w:hAnsi="Times New Roman" w:eastAsia="宋体" w:cs="Times New Roman"/>
          <w:bCs/>
          <w:snapToGrid w:val="0"/>
          <w:kern w:val="0"/>
          <w:sz w:val="24"/>
        </w:rPr>
        <w:t>保险费、税费、试运行及缺陷的维护等一切费用；</w:t>
      </w:r>
    </w:p>
    <w:p>
      <w:pPr>
        <w:pStyle w:val="8"/>
        <w:numPr>
          <w:ilvl w:val="0"/>
          <w:numId w:val="4"/>
        </w:numPr>
        <w:ind w:firstLine="566" w:firstLineChars="236"/>
        <w:rPr>
          <w:rFonts w:hint="default" w:ascii="Times New Roman" w:hAnsi="Times New Roman" w:eastAsia="宋体" w:cs="Times New Roman"/>
          <w:bCs/>
          <w:snapToGrid w:val="0"/>
          <w:kern w:val="0"/>
          <w:sz w:val="24"/>
        </w:rPr>
      </w:pPr>
      <w:r>
        <w:rPr>
          <w:rFonts w:hint="default" w:ascii="Times New Roman" w:hAnsi="Times New Roman" w:eastAsia="宋体" w:cs="Times New Roman"/>
          <w:bCs/>
          <w:snapToGrid w:val="0"/>
          <w:kern w:val="0"/>
          <w:sz w:val="24"/>
        </w:rPr>
        <w:t>质保期：两年；</w:t>
      </w:r>
    </w:p>
    <w:p>
      <w:pPr>
        <w:pStyle w:val="8"/>
        <w:numPr>
          <w:ilvl w:val="0"/>
          <w:numId w:val="4"/>
        </w:numPr>
        <w:ind w:firstLine="566" w:firstLineChars="236"/>
        <w:rPr>
          <w:rFonts w:hint="default" w:ascii="Times New Roman" w:hAnsi="Times New Roman" w:eastAsia="宋体" w:cs="Times New Roman"/>
          <w:bCs/>
          <w:snapToGrid w:val="0"/>
          <w:kern w:val="0"/>
          <w:sz w:val="24"/>
        </w:rPr>
      </w:pPr>
      <w:r>
        <w:rPr>
          <w:rFonts w:hint="default" w:ascii="Times New Roman" w:hAnsi="Times New Roman" w:eastAsia="宋体" w:cs="Times New Roman"/>
          <w:bCs/>
          <w:snapToGrid w:val="0"/>
          <w:kern w:val="0"/>
          <w:sz w:val="24"/>
        </w:rPr>
        <w:t>最高限价：</w:t>
      </w:r>
      <w:r>
        <w:rPr>
          <w:rFonts w:hint="eastAsia" w:ascii="Times New Roman" w:hAnsi="Times New Roman" w:eastAsia="宋体" w:cs="Times New Roman"/>
          <w:bCs/>
          <w:snapToGrid w:val="0"/>
          <w:kern w:val="0"/>
          <w:sz w:val="24"/>
          <w:lang w:val="en-US" w:eastAsia="zh-CN"/>
        </w:rPr>
        <w:t>3564660</w:t>
      </w:r>
      <w:r>
        <w:rPr>
          <w:rFonts w:hint="default" w:ascii="Times New Roman" w:hAnsi="Times New Roman" w:eastAsia="宋体" w:cs="Times New Roman"/>
          <w:bCs/>
          <w:snapToGrid w:val="0"/>
          <w:color w:val="auto"/>
          <w:kern w:val="0"/>
          <w:sz w:val="24"/>
        </w:rPr>
        <w:t>.00</w:t>
      </w:r>
      <w:r>
        <w:rPr>
          <w:rFonts w:hint="default" w:ascii="Times New Roman" w:hAnsi="Times New Roman" w:eastAsia="宋体" w:cs="Times New Roman"/>
          <w:bCs/>
          <w:snapToGrid w:val="0"/>
          <w:kern w:val="0"/>
          <w:sz w:val="24"/>
        </w:rPr>
        <w:t>元。</w:t>
      </w:r>
    </w:p>
    <w:p>
      <w:pPr>
        <w:numPr>
          <w:ilvl w:val="0"/>
          <w:numId w:val="3"/>
        </w:numPr>
        <w:topLinePunct/>
        <w:spacing w:line="360" w:lineRule="auto"/>
        <w:outlineLvl w:val="1"/>
        <w:rPr>
          <w:rFonts w:hint="default" w:ascii="Times New Roman" w:hAnsi="Times New Roman" w:eastAsia="宋体" w:cs="Times New Roman"/>
          <w:b/>
          <w:snapToGrid w:val="0"/>
          <w:kern w:val="0"/>
          <w:sz w:val="24"/>
        </w:rPr>
      </w:pPr>
      <w:r>
        <w:rPr>
          <w:rFonts w:hint="default" w:ascii="Times New Roman" w:hAnsi="Times New Roman" w:eastAsia="宋体" w:cs="Times New Roman"/>
          <w:b/>
          <w:snapToGrid w:val="0"/>
          <w:kern w:val="0"/>
          <w:sz w:val="24"/>
        </w:rPr>
        <w:t>技术要求</w:t>
      </w:r>
    </w:p>
    <w:p>
      <w:pPr>
        <w:pStyle w:val="5"/>
        <w:numPr>
          <w:ilvl w:val="2"/>
          <w:numId w:val="0"/>
        </w:numPr>
        <w:spacing w:line="240" w:lineRule="auto"/>
        <w:ind w:left="142" w:leftChars="0"/>
        <w:rPr>
          <w:rFonts w:hint="default"/>
        </w:rPr>
      </w:pPr>
      <w:bookmarkStart w:id="0" w:name="_Toc89719470"/>
      <w:bookmarkStart w:id="1" w:name="_Toc26212"/>
      <w:bookmarkStart w:id="2" w:name="_Toc31725"/>
      <w:r>
        <w:rPr>
          <w:rFonts w:hint="default" w:ascii="Times New Roman" w:hAnsi="Times New Roman" w:eastAsia="宋体" w:cs="Times New Roman"/>
          <w:color w:val="auto"/>
          <w:sz w:val="21"/>
          <w:szCs w:val="21"/>
          <w:highlight w:val="none"/>
        </w:rPr>
        <w:t>802-3-4 自动栏杆</w:t>
      </w:r>
      <w:bookmarkEnd w:id="0"/>
      <w:bookmarkEnd w:id="1"/>
    </w:p>
    <w:p>
      <w:pPr>
        <w:pStyle w:val="5"/>
        <w:numPr>
          <w:ilvl w:val="2"/>
          <w:numId w:val="0"/>
        </w:numPr>
        <w:spacing w:line="240" w:lineRule="auto"/>
        <w:ind w:left="142" w:leftChars="0"/>
        <w:rPr>
          <w:rFonts w:hint="default"/>
        </w:rPr>
      </w:pPr>
      <w:bookmarkStart w:id="3" w:name="_Toc9589"/>
      <w:r>
        <w:rPr>
          <w:rFonts w:hint="default" w:ascii="Times New Roman" w:hAnsi="Times New Roman" w:eastAsia="宋体" w:cs="Times New Roman"/>
          <w:color w:val="auto"/>
          <w:sz w:val="21"/>
          <w:szCs w:val="21"/>
          <w:highlight w:val="none"/>
        </w:rPr>
        <w:t>802-3-4-1 三合一栏杆机</w:t>
      </w:r>
      <w:bookmarkEnd w:id="3"/>
    </w:p>
    <w:p>
      <w:pPr>
        <w:numPr>
          <w:ilvl w:val="0"/>
          <w:numId w:val="5"/>
        </w:numPr>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高速自动栏杆机部分：</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功能要求符合 GB/T 24973-2010《收费用电动栏杆》。</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当自动栏杆机发生故障或断电时，栏杆应自动位移至竖直状态；当车辆水平冲撞栏杆时，栏杆体与机箱连接部应有脱离装置，使栏杆体在车辆碰撞力作用下水平移开。</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当自动栏杆机发生故障或断电时，栏杆应自动位移至竖直状态。</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采用步进电机技术，电机以平滑的减速过程停止，避免了由于造成的电 机、齿轮润滑等故障。采用高精度减速器进行控制，由软件控制栏杆的均匀减速和平稳停靠。 </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栏杆臂：栏杆臂采用高强度铝合金拉伸或碳纤维管制成，栏杆臂下沿安装弹性防砸胶条或包裹高弹软性纤维，可以对车辆实施有效保护，表面红白相间，贴高强度红色反光膜。栏杆臂具备红绿灯光变化效果，用以提示司机通行状态。</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快速启动和停止，栏杆开闭时间：＜0.6秒；</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电机：数字伺服电机；</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控制器类型：TSD-60L；</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工作电压：AC220V±15%；50Hz±10%；</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最小电流: 50mA，最大电流5A；</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工作环境温度范围：-40℃～75℃；</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工作环境湿度范围：≤ 95%；</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功率/功耗：≤250W；</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使用寿命：＞1000万往复次或10年；</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MTTR小于0.5小时，MTBF大于500万次或60000小时；</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带有防冲撞机构，可抗 6 级风力，杆臂外力脱开后能自动复位；</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防护等级：IP65。</w:t>
      </w:r>
    </w:p>
    <w:p>
      <w:pPr>
        <w:pStyle w:val="5"/>
        <w:numPr>
          <w:ilvl w:val="2"/>
          <w:numId w:val="0"/>
        </w:numPr>
        <w:spacing w:line="240" w:lineRule="auto"/>
        <w:ind w:left="142" w:leftChars="0"/>
        <w:rPr>
          <w:rFonts w:hint="default" w:ascii="Times New Roman" w:hAnsi="Times New Roman" w:eastAsia="宋体" w:cs="Times New Roman"/>
          <w:color w:val="auto"/>
          <w:sz w:val="21"/>
          <w:szCs w:val="21"/>
          <w:highlight w:val="none"/>
        </w:rPr>
      </w:pPr>
      <w:bookmarkStart w:id="4" w:name="_Toc15336"/>
      <w:r>
        <w:rPr>
          <w:rFonts w:hint="default" w:ascii="Times New Roman" w:hAnsi="Times New Roman" w:eastAsia="宋体" w:cs="Times New Roman"/>
          <w:color w:val="auto"/>
          <w:sz w:val="21"/>
          <w:szCs w:val="21"/>
          <w:highlight w:val="none"/>
        </w:rPr>
        <w:t>802-3-4-2自动栏杆（超宽车道）</w:t>
      </w:r>
      <w:bookmarkEnd w:id="4"/>
    </w:p>
    <w:p>
      <w:pPr>
        <w:spacing w:line="240" w:lineRule="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（1）功能要求</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自动栏杆（杆长3m）安装于4.5m宽车道，与三合一栏杆形成同步起落的双开栏杆。</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当栏杆处于竖直状态时，自动栏杆距收费车道边缘不小于450mm，当自动栏杆在下落时，车辆检测器发现有车通过时，栏杆应能自动停止下落并抬起。</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当车辆水平冲撞栏杆时，栏杆体与机箱连接部应有脱离装置，使栏杆体在车辆碰撞力作用下水平移开。</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当自动栏杆机发生故障或断电时，栏杆应自动位移至竖直状态；并可根据需要，人工调节至水平状态。</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采用步进电机技术，电机以平滑的减速过程停止，避免了由于高温造成的电机、齿轮润滑等故障。</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采用高精度减速器进行控制，由软件控制栏杆的均匀减速和平稳停靠。</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其他功能要求应符合GB/T 24973-2010《收费用电动栏杆》。 </w:t>
      </w:r>
    </w:p>
    <w:p>
      <w:pPr>
        <w:spacing w:line="240" w:lineRule="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（2）主要技术指标</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栏杆杆长3.0m，栏杆臂下边缘距车道地面的高度应在650mm～950mm。</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-栏杆臂采用碳纤维管或轻型铝合金制作内芯，断面直径为75mm，采用高强度铝合金材料铸造，外裹外层包裹高弹软性纤维，使用高强度粘合胶粘合，并贴有红白相间的Ⅲ类反光膜。</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栏杆抬起时间≤0.6s。</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MTBF：≥100万次或50,000小时。</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MTTR：＜0.5小时。</w:t>
      </w:r>
    </w:p>
    <w:p>
      <w:pPr>
        <w:pStyle w:val="23"/>
        <w:numPr>
          <w:ilvl w:val="0"/>
          <w:numId w:val="6"/>
        </w:numPr>
        <w:spacing w:line="240" w:lineRule="auto"/>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使用寿命大于10,000,000起落次或十年。</w:t>
      </w:r>
    </w:p>
    <w:p>
      <w:pPr>
        <w:pStyle w:val="2"/>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机外壳防护等级不低于IP65，机箱外壳防护等级不低于IP65。</w:t>
      </w:r>
    </w:p>
    <w:p>
      <w:pPr>
        <w:pStyle w:val="5"/>
        <w:numPr>
          <w:ilvl w:val="2"/>
          <w:numId w:val="0"/>
        </w:numPr>
        <w:spacing w:line="240" w:lineRule="auto"/>
        <w:ind w:left="142" w:leftChars="0"/>
        <w:rPr>
          <w:rFonts w:hint="default" w:ascii="Times New Roman" w:hAnsi="Times New Roman" w:eastAsia="宋体" w:cs="Times New Roman"/>
          <w:color w:val="auto"/>
          <w:sz w:val="21"/>
          <w:szCs w:val="21"/>
          <w:highlight w:val="none"/>
        </w:rPr>
      </w:pPr>
      <w:bookmarkStart w:id="5" w:name="_Toc32360"/>
      <w:r>
        <w:rPr>
          <w:rFonts w:hint="default" w:ascii="Times New Roman" w:hAnsi="Times New Roman" w:eastAsia="宋体" w:cs="Times New Roman"/>
          <w:color w:val="auto"/>
          <w:sz w:val="21"/>
          <w:szCs w:val="21"/>
          <w:highlight w:val="none"/>
        </w:rPr>
        <w:t>802-3-</w:t>
      </w:r>
      <w:r>
        <w:rPr>
          <w:rFonts w:hint="default" w:ascii="Times New Roman" w:hAnsi="Times New Roman" w:eastAsia="宋体" w:cs="Times New Roman"/>
          <w:color w:val="auto"/>
          <w:sz w:val="21"/>
          <w:szCs w:val="21"/>
          <w:highlight w:val="none"/>
          <w:lang w:val="en-US" w:eastAsia="zh-CN"/>
        </w:rPr>
        <w:t>21</w:t>
      </w:r>
      <w:r>
        <w:rPr>
          <w:rFonts w:hint="default" w:ascii="Times New Roman" w:hAnsi="Times New Roman" w:eastAsia="宋体" w:cs="Times New Roman"/>
          <w:color w:val="auto"/>
          <w:sz w:val="21"/>
          <w:szCs w:val="21"/>
          <w:highlight w:val="none"/>
        </w:rPr>
        <w:t>自助发卡机</w:t>
      </w:r>
      <w:bookmarkEnd w:id="5"/>
    </w:p>
    <w:p>
      <w:p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采用嵌入式，含卡机基座制作，与收费车道共用工控机，含安装、辅材及系统调试。</w:t>
      </w:r>
    </w:p>
    <w:p>
      <w:p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采用散卡式发卡机，含机箱部件、机箱附件、LED滚动屏部件、发卡单元部件、发卡面板部件、配电盘部件、卡读写器等；发卡机内上下工位各设有一个对讲模块，当司机在取卡过程中遇到问题时，可以同监控室直接对话，或者直接使用对讲按钮触发报警器提醒；具有现场呼叫功能，司机按下呼叫按钮后将触发卡机的声光报警器。</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工作电压：AC220-240V±15%、50-60Hz±2Hz；</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功率：&lt;150W、&lt;650W（包括制冷部分）；</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适应CPC卡尺寸  86×54mm,厚度5±0.2mm；</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通讯接口：RS232/Ethernet；</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噪音：≤60dB；</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工作温度：-40℃～70℃；</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工作湿度：0～90%；</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平均无故障时间：MTBF＞10000小时；</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平均故障恢复时间：MTTR &lt;0.5小时；</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新卡卡票率：&lt;0.003%；</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发卡速度：1200张/小时；</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切换响应时间：&lt;2秒；</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工作状态显示：LCD或LED；</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卡机总CPC卡容量：≥800张；</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换卡盒时间：&lt;1.5分钟/卡盒；</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传动件寿命：100万次；</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CPC 卡读写：支持CPC卡读写；</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语音对讲模块：配备麦克风和扬声器，可选 IP 可视对讲或普通爱峰对讲；</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显示器：配备LED高亮显示屏，阳光下可见；</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摄像头：配备司机视角摄像头，支持与车主在线视频通话 ；</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空调：配备工业级户外恒温空调。</w:t>
      </w:r>
    </w:p>
    <w:p>
      <w:pPr>
        <w:pStyle w:val="5"/>
        <w:numPr>
          <w:ilvl w:val="2"/>
          <w:numId w:val="0"/>
        </w:numPr>
        <w:spacing w:line="240" w:lineRule="auto"/>
        <w:ind w:left="142" w:leftChars="0"/>
        <w:rPr>
          <w:rFonts w:hint="default" w:ascii="Times New Roman" w:hAnsi="Times New Roman" w:eastAsia="宋体" w:cs="Times New Roman"/>
          <w:color w:val="auto"/>
          <w:sz w:val="21"/>
          <w:szCs w:val="21"/>
          <w:highlight w:val="none"/>
        </w:rPr>
      </w:pPr>
      <w:bookmarkStart w:id="6" w:name="_Toc29165"/>
      <w:r>
        <w:rPr>
          <w:rFonts w:hint="default" w:ascii="Times New Roman" w:hAnsi="Times New Roman" w:eastAsia="宋体" w:cs="Times New Roman"/>
          <w:color w:val="auto"/>
          <w:sz w:val="21"/>
          <w:szCs w:val="21"/>
          <w:highlight w:val="none"/>
        </w:rPr>
        <w:t>802-3-2</w:t>
      </w: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自助缴费机</w:t>
      </w:r>
      <w:bookmarkEnd w:id="6"/>
    </w:p>
    <w:p>
      <w:pPr>
        <w:spacing w:line="240" w:lineRule="auto"/>
        <w:ind w:firstLine="630" w:firstLineChars="3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采用嵌入式，含卡机基座制作，与收费车道共用工控机，含安装、辅材及系统调试。</w:t>
      </w:r>
    </w:p>
    <w:p>
      <w:pPr>
        <w:spacing w:line="240" w:lineRule="auto"/>
        <w:ind w:firstLine="630" w:firstLineChars="3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采用散卡管理模式，含机箱部件、机箱附件、LED滚动屏部件、收卡单元部件、读卡器、移动支付部件、发票打印机、配电盘部件、基座等；发卡机内上下工位各设有一个对讲模块，当司机在取卡过程中遇到问题时，可以同监控室直接对话，或者直接使用对讲按钮触发报警器提醒；具有现场呼叫功能，司机按下呼叫按钮后将触发卡机的声光报警器。</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工作电压：AC220-240V±15%、50-60Hz±2Hz；</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功率：&lt;150W、&lt;650W（包括制冷部分）；</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适应CPC卡尺寸  86×54mm,厚度5±0.2mm；</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通讯接口： Ethernet；</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噪音：≤60dB；</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工作温度：-40℃～70℃；</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工作湿度：0～90%；</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平均无故障时间：MTBF＞10000小时；</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平均故障恢复时间：MTTR &lt;0.5小时；</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切换响应时间：&lt;2秒；</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CPC卡容量：≥500张；</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传动件寿命：100万次；</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工位数量：标配双工位，可支持单工位；</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ETC 卡读写：外部 ETC 卡刷卡；</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CPC 卡读写：支持CPC卡读写；</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扫码支付：200w 像素高清扫码器，扫码距离≥1.2 米；</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发票凭证打印：支持纸质发票打印；</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语音对讲模块：配备麦克风和扬声器，可选 IP 可视对讲或普通爱峰对讲；</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显示器：配备高亮显示屏，阳光下可见；</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摄像头：配备司机视角摄像头，支持与车主在线视频通话 ；</w:t>
      </w:r>
    </w:p>
    <w:p>
      <w:pPr>
        <w:numPr>
          <w:ilvl w:val="0"/>
          <w:numId w:val="7"/>
        </w:numPr>
        <w:adjustRightInd w:val="0"/>
        <w:snapToGrid w:val="0"/>
        <w:spacing w:line="240" w:lineRule="auto"/>
        <w:ind w:left="567" w:firstLine="6"/>
        <w:outlineLvl w:val="5"/>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空调：配备工业级户外恒温空调。</w:t>
      </w:r>
    </w:p>
    <w:p>
      <w:pPr>
        <w:pStyle w:val="6"/>
        <w:numPr>
          <w:ilvl w:val="3"/>
          <w:numId w:val="0"/>
        </w:numPr>
        <w:spacing w:line="240" w:lineRule="auto"/>
        <w:ind w:left="562" w:leftChars="0"/>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3</w:t>
      </w:r>
      <w:r>
        <w:rPr>
          <w:rFonts w:hint="default" w:ascii="Times New Roman" w:hAnsi="Times New Roman" w:eastAsia="宋体" w:cs="Times New Roman"/>
          <w:sz w:val="21"/>
          <w:szCs w:val="21"/>
        </w:rPr>
        <w:t>.5</w:t>
      </w:r>
      <w:r>
        <w:rPr>
          <w:rFonts w:hint="default" w:ascii="Times New Roman" w:hAnsi="Times New Roman" w:eastAsia="宋体" w:cs="Times New Roman"/>
          <w:sz w:val="21"/>
          <w:szCs w:val="21"/>
          <w:lang w:eastAsia="zh-CN"/>
        </w:rPr>
        <w:t>三合一</w:t>
      </w:r>
      <w:r>
        <w:rPr>
          <w:rFonts w:hint="default" w:ascii="Times New Roman" w:hAnsi="Times New Roman" w:eastAsia="宋体" w:cs="Times New Roman"/>
          <w:sz w:val="21"/>
          <w:szCs w:val="21"/>
        </w:rPr>
        <w:t>栏杆</w:t>
      </w:r>
      <w:r>
        <w:rPr>
          <w:rFonts w:hint="default" w:ascii="Times New Roman" w:hAnsi="Times New Roman" w:eastAsia="宋体" w:cs="Times New Roman"/>
          <w:sz w:val="21"/>
          <w:szCs w:val="21"/>
          <w:lang w:eastAsia="zh-CN"/>
        </w:rPr>
        <w:t>机</w:t>
      </w:r>
    </w:p>
    <w:p>
      <w:pPr>
        <w:pStyle w:val="10"/>
        <w:spacing w:line="240" w:lineRule="auto"/>
        <w:ind w:left="360" w:firstLine="420" w:firstLineChars="200"/>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具备费额显示器、高速自动栏杆、高清车牌识别设备的功能；具备栏杆臂发光（红、绿）功能，可根据交易成功/失败改变颜色。</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主要技术指标如下：</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ETC 自动栏杆机应符合JT/T（428.1-428.2）的要求，栏杆臂下边缘距机箱</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底平面的高度在650mm～950mm 之间；</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快速启动和停止，由水平到竖直和由竖直到水平的运动时间均小于0.6s；</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使用寿命：≥3,000,000 往复次或≥10 年；</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工作环境温度：-40℃～70℃；</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工作环境湿度：95%无冷凝；</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带有防冲撞机构，可抗5 级风力，又能安全脱开；</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电源：AC220V15%，50Hz2Hz；</w:t>
      </w:r>
    </w:p>
    <w:p>
      <w:pPr>
        <w:pStyle w:val="10"/>
        <w:spacing w:line="240" w:lineRule="auto"/>
        <w:ind w:left="360" w:firstLine="420" w:firstLineChars="200"/>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rPr>
        <w:t>— 防护等级：IP65。</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车牌自动识别设备应符合JT/T 604 的要求，采用高清车牌识别一体机，能</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自动识别“GA36-92”(92 式牌照)、“GA36.1-2001”（02 式牌照）标准民用车牌照、04 式军用、新武警、港澳式等各种格式汽车号牌；</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全天候车牌识别正确率：≥98%；</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识别速度＜0.2s；</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支持视频、线圈触发等多种触发方式；</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视频编码：H.264，MJPEG，图像编码：JPEG；</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成像器件：≥1/3inch 逐行扫描 CMOS 或CCD 图像传感器；</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有效画面像素≥300 万；</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前端SD 存储≥64GB；</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具备OSD 功能，视频能叠加时间、车牌、车道号等各种动态信息字符；</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全天候室外型防护罩；</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MTBF：≥30,000h；</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工作环境温度：-40℃～70℃；</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工作环境湿度：0-95%；</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电源：50HZ，AC24V/220V；</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防护等级：IP66；</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应符合GB/T 27879 的要求；</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可显示</w:t>
      </w:r>
      <w:r>
        <w:rPr>
          <w:rFonts w:hint="default" w:ascii="Times New Roman" w:hAnsi="Times New Roman" w:eastAsia="宋体" w:cs="Times New Roman"/>
          <w:sz w:val="21"/>
          <w:szCs w:val="21"/>
          <w:lang w:eastAsia="zh-CN"/>
        </w:rPr>
        <w:t>6</w:t>
      </w:r>
      <w:r>
        <w:rPr>
          <w:rFonts w:hint="default" w:ascii="Times New Roman" w:hAnsi="Times New Roman" w:eastAsia="宋体" w:cs="Times New Roman"/>
          <w:sz w:val="21"/>
          <w:szCs w:val="21"/>
        </w:rPr>
        <w:t xml:space="preserve"> 行8 列汉字，内置GB2312 一级汉字字库；</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显示亮度：≥1300 cd/m2 ；</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显示颜色：红色</w:t>
      </w:r>
      <w:r>
        <w:rPr>
          <w:rFonts w:hint="default" w:ascii="Times New Roman" w:hAnsi="Times New Roman" w:eastAsia="宋体" w:cs="Times New Roman"/>
          <w:sz w:val="21"/>
          <w:szCs w:val="21"/>
          <w:lang w:eastAsia="zh-CN"/>
        </w:rPr>
        <w:t>、绿色</w:t>
      </w:r>
      <w:r>
        <w:rPr>
          <w:rFonts w:hint="default" w:ascii="Times New Roman" w:hAnsi="Times New Roman" w:eastAsia="宋体" w:cs="Times New Roman"/>
          <w:sz w:val="21"/>
          <w:szCs w:val="21"/>
        </w:rPr>
        <w:t>；</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通信接口：标准RS232；</w:t>
      </w:r>
    </w:p>
    <w:p>
      <w:pPr>
        <w:pStyle w:val="10"/>
        <w:spacing w:line="240" w:lineRule="auto"/>
        <w:ind w:left="360"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可视距离：＞20m，视角：＞150°；</w:t>
      </w:r>
    </w:p>
    <w:p>
      <w:pPr>
        <w:pStyle w:val="5"/>
        <w:numPr>
          <w:ilvl w:val="2"/>
          <w:numId w:val="0"/>
        </w:numPr>
        <w:spacing w:line="240" w:lineRule="auto"/>
        <w:ind w:left="142" w:leftChars="0"/>
        <w:rPr>
          <w:rFonts w:hint="default" w:ascii="Times New Roman" w:hAnsi="Times New Roman" w:eastAsia="宋体" w:cs="Times New Roman"/>
          <w:color w:val="auto"/>
          <w:sz w:val="21"/>
          <w:szCs w:val="21"/>
          <w:highlight w:val="none"/>
        </w:rPr>
      </w:pPr>
      <w:bookmarkStart w:id="7" w:name="_Toc28641"/>
      <w:r>
        <w:rPr>
          <w:rFonts w:hint="default" w:ascii="Times New Roman" w:hAnsi="Times New Roman" w:eastAsia="宋体" w:cs="Times New Roman"/>
          <w:color w:val="auto"/>
          <w:sz w:val="21"/>
          <w:szCs w:val="21"/>
          <w:highlight w:val="none"/>
        </w:rPr>
        <w:t>802-3-1 车道控制器</w:t>
      </w:r>
      <w:bookmarkEnd w:id="7"/>
    </w:p>
    <w:p>
      <w:pPr>
        <w:numPr>
          <w:ilvl w:val="0"/>
          <w:numId w:val="8"/>
        </w:numPr>
        <w:spacing w:line="240" w:lineRule="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功能要求</w:t>
      </w:r>
    </w:p>
    <w:p>
      <w:pPr>
        <w:numPr>
          <w:ilvl w:val="0"/>
          <w:numId w:val="9"/>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满足《取消高速公路省界收费站总体技术方案》、DB 44/T 1793-2016《广东省高速公路联网收费系统》中对出入口人工收费车道功能的要求。车道计算机、车道控制器等设备，通过安装于车道计算机上的收费车道软件实现获取、处理、上传和本机存储车辆通行信息，计算并收取通行费，查看车道监视视频及对本车到各设备的操作。</w:t>
      </w:r>
    </w:p>
    <w:p>
      <w:pPr>
        <w:numPr>
          <w:ilvl w:val="0"/>
          <w:numId w:val="9"/>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业级CPU母板或子板布局，充分电磁兼容设计，低功耗，全面故障自我诊断能力及报警提示。支持远程开关机，远程监测CPU温度、使用率等设备运行状态，并支持发现系统异常通过短信/电子邮件的方式等方式自动报警。</w:t>
      </w:r>
    </w:p>
    <w:p>
      <w:pPr>
        <w:numPr>
          <w:ilvl w:val="0"/>
          <w:numId w:val="9"/>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要求安装vnc远程控制软件，可在管理中心对车道计算机内安装的收费等软件进行统一的远程调试等工作。</w:t>
      </w:r>
    </w:p>
    <w:p>
      <w:pPr>
        <w:numPr>
          <w:ilvl w:val="0"/>
          <w:numId w:val="8"/>
        </w:numPr>
        <w:spacing w:line="240" w:lineRule="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主要技术指标</w:t>
      </w:r>
    </w:p>
    <w:p>
      <w:pPr>
        <w:numPr>
          <w:ilvl w:val="0"/>
          <w:numId w:val="10"/>
        </w:numPr>
        <w:spacing w:line="240" w:lineRule="auto"/>
        <w:ind w:left="993" w:hanging="567"/>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车道控制器</w:t>
      </w:r>
    </w:p>
    <w:p>
      <w:pPr>
        <w:numPr>
          <w:ilvl w:val="0"/>
          <w:numId w:val="9"/>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至少8路控制输出，支持数字电压输出和开关信号输出。</w:t>
      </w:r>
    </w:p>
    <w:p>
      <w:pPr>
        <w:numPr>
          <w:ilvl w:val="0"/>
          <w:numId w:val="9"/>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至少8路检测输入，支持数字电压输入和开关信号输入。</w:t>
      </w:r>
    </w:p>
    <w:p>
      <w:pPr>
        <w:numPr>
          <w:ilvl w:val="0"/>
          <w:numId w:val="9"/>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所有I/O必须具备隔离功能，可为光耦隔离或继电器隔离，保护以减少雷电及高能浪涌的冲击。</w:t>
      </w:r>
    </w:p>
    <w:p>
      <w:pPr>
        <w:numPr>
          <w:ilvl w:val="0"/>
          <w:numId w:val="9"/>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支持语音报读功能。</w:t>
      </w:r>
    </w:p>
    <w:p>
      <w:pPr>
        <w:numPr>
          <w:ilvl w:val="0"/>
          <w:numId w:val="9"/>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对于自动栏杆控制，支持防砸车功能，且该功能是自身独立完成的，即在没有上位机的车道软件的情况下，也能具备防砸车功能。</w:t>
      </w:r>
    </w:p>
    <w:p>
      <w:pPr>
        <w:numPr>
          <w:ilvl w:val="0"/>
          <w:numId w:val="9"/>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支持RS232标准通讯接口。</w:t>
      </w:r>
    </w:p>
    <w:p>
      <w:pPr>
        <w:numPr>
          <w:ilvl w:val="0"/>
          <w:numId w:val="9"/>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具有故障检测和反馈功能。</w:t>
      </w:r>
    </w:p>
    <w:p>
      <w:pPr>
        <w:numPr>
          <w:ilvl w:val="0"/>
          <w:numId w:val="9"/>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设备具有唯一标识码，通过通讯接口，该唯一设备编码可软件读取。</w:t>
      </w:r>
    </w:p>
    <w:p>
      <w:pPr>
        <w:numPr>
          <w:ilvl w:val="0"/>
          <w:numId w:val="9"/>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电源控制：车道控制器需对总电源和车道计算机等各独立设备电源分别控制，并做抗干扰处理。</w:t>
      </w:r>
    </w:p>
    <w:p>
      <w:pPr>
        <w:numPr>
          <w:ilvl w:val="0"/>
          <w:numId w:val="9"/>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机箱：1.5mm厚304不锈钢材料制作，正面（和背面）开门，便于安装和内部维修。门框和进线孔加密封橡胶垫圈不设通风孔，保证机箱防水、防尘。</w:t>
      </w:r>
    </w:p>
    <w:p>
      <w:pPr>
        <w:numPr>
          <w:ilvl w:val="0"/>
          <w:numId w:val="10"/>
        </w:numPr>
        <w:spacing w:line="240" w:lineRule="auto"/>
        <w:ind w:left="993" w:hanging="567"/>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附件</w:t>
      </w:r>
    </w:p>
    <w:p>
      <w:pPr>
        <w:numPr>
          <w:ilvl w:val="0"/>
          <w:numId w:val="9"/>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包含供电电缆，内置电源适配器，对车道供电端子配置电源避雷器。</w:t>
      </w:r>
    </w:p>
    <w:p>
      <w:pPr>
        <w:numPr>
          <w:ilvl w:val="0"/>
          <w:numId w:val="9"/>
        </w:numPr>
        <w:shd w:val="clear" w:color="auto" w:fill="FFFFFF"/>
        <w:spacing w:line="240" w:lineRule="auto"/>
        <w:ind w:lef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车道控制器信号电缆配置信号避雷器。</w:t>
      </w:r>
    </w:p>
    <w:p>
      <w:pPr>
        <w:pStyle w:val="2"/>
        <w:spacing w:line="240" w:lineRule="auto"/>
        <w:ind w:left="0" w:leftChars="0"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具备接地端子，可以亭内接地汇流排连接，电阻小于1Ω。</w:t>
      </w:r>
    </w:p>
    <w:p>
      <w:pPr>
        <w:pStyle w:val="5"/>
        <w:numPr>
          <w:ilvl w:val="2"/>
          <w:numId w:val="0"/>
        </w:numPr>
        <w:spacing w:line="240" w:lineRule="auto"/>
        <w:ind w:left="142" w:leftChars="0"/>
        <w:rPr>
          <w:rFonts w:hint="default" w:ascii="Times New Roman" w:hAnsi="Times New Roman" w:eastAsia="宋体" w:cs="Times New Roman"/>
          <w:color w:val="auto"/>
          <w:sz w:val="21"/>
          <w:szCs w:val="21"/>
          <w:highlight w:val="none"/>
        </w:rPr>
      </w:pPr>
      <w:bookmarkStart w:id="8" w:name="_Toc16808"/>
      <w:r>
        <w:rPr>
          <w:rFonts w:hint="default" w:ascii="Times New Roman" w:hAnsi="Times New Roman" w:eastAsia="宋体" w:cs="Times New Roman"/>
          <w:color w:val="auto"/>
          <w:sz w:val="21"/>
          <w:szCs w:val="21"/>
          <w:highlight w:val="none"/>
        </w:rPr>
        <w:t>804-5-1 环形线圈车辆检测器</w:t>
      </w:r>
      <w:bookmarkEnd w:id="8"/>
    </w:p>
    <w:p>
      <w:pPr>
        <w:pStyle w:val="5"/>
        <w:numPr>
          <w:ilvl w:val="2"/>
          <w:numId w:val="0"/>
        </w:numPr>
        <w:spacing w:line="240" w:lineRule="auto"/>
        <w:ind w:left="142" w:leftChars="0"/>
        <w:rPr>
          <w:rFonts w:hint="default" w:ascii="Times New Roman" w:hAnsi="Times New Roman" w:eastAsia="宋体" w:cs="Times New Roman"/>
          <w:color w:val="auto"/>
          <w:sz w:val="21"/>
          <w:szCs w:val="21"/>
          <w:highlight w:val="none"/>
        </w:rPr>
      </w:pPr>
      <w:bookmarkStart w:id="9" w:name="_Toc29027"/>
      <w:r>
        <w:rPr>
          <w:rFonts w:hint="default" w:ascii="Times New Roman" w:hAnsi="Times New Roman" w:eastAsia="宋体" w:cs="Times New Roman"/>
          <w:color w:val="auto"/>
          <w:sz w:val="21"/>
          <w:szCs w:val="21"/>
          <w:highlight w:val="none"/>
        </w:rPr>
        <w:t>804-5-1-</w:t>
      </w: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 xml:space="preserve"> 车辆检测器（单通道）</w:t>
      </w:r>
      <w:bookmarkEnd w:id="9"/>
    </w:p>
    <w:p>
      <w:pPr>
        <w:numPr>
          <w:ilvl w:val="0"/>
          <w:numId w:val="9"/>
        </w:numPr>
        <w:shd w:val="clear" w:color="auto" w:fill="FFFFFF"/>
        <w:spacing w:line="240" w:lineRule="auto"/>
        <w:ind w:left="372" w:leftChars="177" w:firstLine="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单通道车辆检测器。</w:t>
      </w:r>
    </w:p>
    <w:p>
      <w:pPr>
        <w:numPr>
          <w:ilvl w:val="0"/>
          <w:numId w:val="9"/>
        </w:numPr>
        <w:shd w:val="clear" w:color="auto" w:fill="FFFFFF"/>
        <w:spacing w:line="240" w:lineRule="auto"/>
        <w:ind w:left="372" w:leftChars="177" w:firstLine="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车辆检测器应可以检测出入高速公路的各种车辆。</w:t>
      </w:r>
    </w:p>
    <w:p>
      <w:pPr>
        <w:numPr>
          <w:ilvl w:val="0"/>
          <w:numId w:val="9"/>
        </w:numPr>
        <w:shd w:val="clear" w:color="auto" w:fill="FFFFFF"/>
        <w:spacing w:line="240" w:lineRule="auto"/>
        <w:ind w:left="372" w:leftChars="177" w:firstLine="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可检测出距离相近的两辆车。</w:t>
      </w:r>
    </w:p>
    <w:p>
      <w:pPr>
        <w:numPr>
          <w:ilvl w:val="0"/>
          <w:numId w:val="9"/>
        </w:numPr>
        <w:shd w:val="clear" w:color="auto" w:fill="FFFFFF"/>
        <w:spacing w:line="240" w:lineRule="auto"/>
        <w:ind w:left="372" w:leftChars="177" w:firstLine="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各车道的检测器不能互相干扰，金属物体在两车道之间的收费岛上移动时，不能影响检测器的性能和精度。</w:t>
      </w:r>
    </w:p>
    <w:p>
      <w:pPr>
        <w:numPr>
          <w:ilvl w:val="0"/>
          <w:numId w:val="9"/>
        </w:numPr>
        <w:shd w:val="clear" w:color="auto" w:fill="FFFFFF"/>
        <w:spacing w:line="240" w:lineRule="auto"/>
        <w:ind w:left="372" w:leftChars="177" w:firstLine="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检测器应有人工复位按钮。</w:t>
      </w:r>
    </w:p>
    <w:p>
      <w:pPr>
        <w:numPr>
          <w:ilvl w:val="0"/>
          <w:numId w:val="9"/>
        </w:numPr>
        <w:shd w:val="clear" w:color="auto" w:fill="FFFFFF"/>
        <w:spacing w:line="240" w:lineRule="auto"/>
        <w:ind w:left="372" w:leftChars="177" w:firstLine="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频率：3级以上可调。</w:t>
      </w:r>
    </w:p>
    <w:p>
      <w:pPr>
        <w:numPr>
          <w:ilvl w:val="0"/>
          <w:numId w:val="9"/>
        </w:numPr>
        <w:shd w:val="clear" w:color="auto" w:fill="FFFFFF"/>
        <w:spacing w:line="240" w:lineRule="auto"/>
        <w:ind w:left="372" w:leftChars="177" w:firstLine="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灵敏度：4级以上可调。</w:t>
      </w:r>
    </w:p>
    <w:p>
      <w:pPr>
        <w:numPr>
          <w:ilvl w:val="0"/>
          <w:numId w:val="9"/>
        </w:numPr>
        <w:shd w:val="clear" w:color="auto" w:fill="FFFFFF"/>
        <w:spacing w:line="240" w:lineRule="auto"/>
        <w:ind w:left="372" w:leftChars="177" w:firstLine="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不要求环形线圈检测出轻型摩托车更小的运输工具。</w:t>
      </w:r>
    </w:p>
    <w:p>
      <w:pPr>
        <w:numPr>
          <w:ilvl w:val="0"/>
          <w:numId w:val="9"/>
        </w:numPr>
        <w:shd w:val="clear" w:color="auto" w:fill="FFFFFF"/>
        <w:spacing w:line="240" w:lineRule="auto"/>
        <w:ind w:left="372" w:leftChars="177" w:firstLine="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用于车辆计数检测器误差1×10</w:t>
      </w:r>
      <w:r>
        <w:rPr>
          <w:rFonts w:hint="default" w:ascii="Times New Roman" w:hAnsi="Times New Roman" w:eastAsia="宋体" w:cs="Times New Roman"/>
          <w:color w:val="auto"/>
          <w:sz w:val="21"/>
          <w:szCs w:val="21"/>
          <w:highlight w:val="none"/>
          <w:vertAlign w:val="superscript"/>
        </w:rPr>
        <w:t>-4</w:t>
      </w:r>
      <w:r>
        <w:rPr>
          <w:rFonts w:hint="default" w:ascii="Times New Roman" w:hAnsi="Times New Roman" w:eastAsia="宋体" w:cs="Times New Roman"/>
          <w:color w:val="auto"/>
          <w:sz w:val="21"/>
          <w:szCs w:val="21"/>
          <w:highlight w:val="none"/>
        </w:rPr>
        <w:t>。</w:t>
      </w:r>
    </w:p>
    <w:p>
      <w:pPr>
        <w:numPr>
          <w:ilvl w:val="0"/>
          <w:numId w:val="9"/>
        </w:numPr>
        <w:shd w:val="clear" w:color="auto" w:fill="FFFFFF"/>
        <w:spacing w:line="240" w:lineRule="auto"/>
        <w:ind w:left="372" w:leftChars="177" w:firstLine="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车速：≤60Km/h。</w:t>
      </w:r>
    </w:p>
    <w:p>
      <w:pPr>
        <w:numPr>
          <w:ilvl w:val="0"/>
          <w:numId w:val="9"/>
        </w:numPr>
        <w:shd w:val="clear" w:color="auto" w:fill="FFFFFF"/>
        <w:spacing w:line="240" w:lineRule="auto"/>
        <w:ind w:left="372" w:leftChars="177" w:firstLine="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使用寿命：≥5,000,000辆次。</w:t>
      </w:r>
    </w:p>
    <w:p>
      <w:pPr>
        <w:numPr>
          <w:ilvl w:val="0"/>
          <w:numId w:val="9"/>
        </w:numPr>
        <w:shd w:val="clear" w:color="auto" w:fill="FFFFFF"/>
        <w:spacing w:line="240" w:lineRule="auto"/>
        <w:ind w:left="372" w:leftChars="177" w:firstLine="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支持线圈数量：1套。</w:t>
      </w:r>
    </w:p>
    <w:p>
      <w:pPr>
        <w:pStyle w:val="5"/>
        <w:numPr>
          <w:ilvl w:val="2"/>
          <w:numId w:val="0"/>
        </w:num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MTBF≥30,000h。</w:t>
      </w:r>
    </w:p>
    <w:bookmarkEnd w:id="2"/>
    <w:p>
      <w:pPr>
        <w:numPr>
          <w:ilvl w:val="0"/>
          <w:numId w:val="3"/>
        </w:numPr>
        <w:topLinePunct/>
        <w:spacing w:line="360" w:lineRule="auto"/>
        <w:outlineLvl w:val="1"/>
        <w:rPr>
          <w:rFonts w:hint="default" w:ascii="Times New Roman" w:hAnsi="Times New Roman" w:eastAsia="宋体" w:cs="Times New Roman"/>
          <w:b/>
          <w:snapToGrid w:val="0"/>
          <w:kern w:val="0"/>
          <w:sz w:val="24"/>
        </w:rPr>
      </w:pPr>
      <w:r>
        <w:rPr>
          <w:rFonts w:hint="default" w:ascii="Times New Roman" w:hAnsi="Times New Roman" w:eastAsia="宋体" w:cs="Times New Roman"/>
          <w:b/>
          <w:snapToGrid w:val="0"/>
          <w:kern w:val="0"/>
          <w:sz w:val="24"/>
        </w:rPr>
        <w:t>供应商资格条件</w:t>
      </w:r>
    </w:p>
    <w:p>
      <w:pPr>
        <w:pStyle w:val="8"/>
        <w:ind w:firstLine="480"/>
        <w:rPr>
          <w:rFonts w:hint="default" w:ascii="Times New Roman" w:hAnsi="Times New Roman" w:eastAsia="宋体" w:cs="Times New Roman"/>
        </w:rPr>
      </w:pPr>
      <w:r>
        <w:rPr>
          <w:rFonts w:hint="default" w:ascii="Times New Roman" w:hAnsi="Times New Roman" w:eastAsia="宋体" w:cs="Times New Roman"/>
          <w:sz w:val="24"/>
        </w:rPr>
        <w:t>信用信誉良好，所供设备符合本工程量清单设备技术要求。</w:t>
      </w:r>
    </w:p>
    <w:p>
      <w:pPr>
        <w:numPr>
          <w:ilvl w:val="0"/>
          <w:numId w:val="3"/>
        </w:numPr>
        <w:topLinePunct/>
        <w:spacing w:line="360" w:lineRule="auto"/>
        <w:outlineLvl w:val="1"/>
        <w:rPr>
          <w:rFonts w:hint="default" w:ascii="Times New Roman" w:hAnsi="Times New Roman" w:eastAsia="宋体" w:cs="Times New Roman"/>
          <w:b/>
          <w:snapToGrid w:val="0"/>
          <w:kern w:val="0"/>
          <w:sz w:val="24"/>
        </w:rPr>
      </w:pPr>
      <w:r>
        <w:rPr>
          <w:rFonts w:hint="default" w:ascii="Times New Roman" w:hAnsi="Times New Roman" w:eastAsia="宋体" w:cs="Times New Roman"/>
          <w:b/>
          <w:snapToGrid w:val="0"/>
          <w:kern w:val="0"/>
          <w:sz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rPr>
      </w:pPr>
      <w:r>
        <w:rPr>
          <w:rFonts w:hint="default" w:ascii="Times New Roman" w:hAnsi="Times New Roman" w:eastAsia="宋体" w:cs="Times New Roman"/>
          <w:sz w:val="24"/>
        </w:rPr>
        <w:t>凡有意参加本次采购且具备履行本项目能力的供应商，请</w:t>
      </w:r>
      <w:r>
        <w:rPr>
          <w:rFonts w:hint="default" w:ascii="Times New Roman" w:hAnsi="Times New Roman" w:eastAsia="宋体" w:cs="Times New Roman"/>
          <w:color w:val="000000"/>
          <w:sz w:val="24"/>
        </w:rPr>
        <w:t>将附于本公告后的响应回执在</w:t>
      </w:r>
      <w:r>
        <w:rPr>
          <w:rFonts w:hint="default" w:ascii="Times New Roman" w:hAnsi="Times New Roman" w:eastAsia="宋体" w:cs="Times New Roman"/>
          <w:color w:val="000000"/>
          <w:sz w:val="24"/>
          <w:u w:val="single"/>
        </w:rPr>
        <w:t>2023年</w:t>
      </w:r>
      <w:r>
        <w:rPr>
          <w:rFonts w:hint="default" w:ascii="Times New Roman" w:hAnsi="Times New Roman" w:eastAsia="宋体" w:cs="Times New Roman"/>
          <w:color w:val="000000"/>
          <w:sz w:val="24"/>
          <w:u w:val="single"/>
          <w:lang w:val="en-US" w:eastAsia="zh-CN"/>
        </w:rPr>
        <w:t>04</w:t>
      </w:r>
      <w:r>
        <w:rPr>
          <w:rFonts w:hint="default" w:ascii="Times New Roman" w:hAnsi="Times New Roman" w:eastAsia="宋体" w:cs="Times New Roman"/>
          <w:color w:val="000000"/>
          <w:sz w:val="24"/>
          <w:u w:val="single"/>
        </w:rPr>
        <w:t>月</w:t>
      </w:r>
      <w:r>
        <w:rPr>
          <w:rFonts w:hint="default" w:ascii="Times New Roman" w:hAnsi="Times New Roman" w:eastAsia="宋体" w:cs="Times New Roman"/>
          <w:color w:val="000000"/>
          <w:sz w:val="24"/>
          <w:u w:val="single"/>
          <w:lang w:val="en-US" w:eastAsia="zh-CN"/>
        </w:rPr>
        <w:t>2</w:t>
      </w:r>
      <w:r>
        <w:rPr>
          <w:rFonts w:hint="eastAsia" w:cs="Times New Roman"/>
          <w:color w:val="000000"/>
          <w:sz w:val="24"/>
          <w:u w:val="single"/>
          <w:lang w:val="en-US" w:eastAsia="zh-CN"/>
        </w:rPr>
        <w:t>6</w:t>
      </w:r>
      <w:r>
        <w:rPr>
          <w:rFonts w:hint="default" w:ascii="Times New Roman" w:hAnsi="Times New Roman" w:eastAsia="宋体" w:cs="Times New Roman"/>
          <w:color w:val="000000"/>
          <w:sz w:val="24"/>
          <w:u w:val="single"/>
          <w:lang w:val="en-US" w:eastAsia="zh-CN"/>
        </w:rPr>
        <w:t xml:space="preserve"> </w:t>
      </w:r>
      <w:r>
        <w:rPr>
          <w:rFonts w:hint="default" w:ascii="Times New Roman" w:hAnsi="Times New Roman" w:eastAsia="宋体" w:cs="Times New Roman"/>
          <w:color w:val="000000"/>
          <w:sz w:val="24"/>
          <w:u w:val="single"/>
        </w:rPr>
        <w:t>日</w:t>
      </w:r>
      <w:r>
        <w:rPr>
          <w:rFonts w:hint="default" w:ascii="Times New Roman" w:hAnsi="Times New Roman" w:eastAsia="宋体" w:cs="Times New Roman"/>
          <w:color w:val="000000"/>
          <w:sz w:val="24"/>
          <w:u w:val="single"/>
          <w:lang w:val="en-US" w:eastAsia="zh-CN"/>
        </w:rPr>
        <w:t>1</w:t>
      </w:r>
      <w:r>
        <w:rPr>
          <w:rFonts w:hint="eastAsia" w:cs="Times New Roman"/>
          <w:color w:val="000000"/>
          <w:sz w:val="24"/>
          <w:u w:val="single"/>
          <w:lang w:val="en-US" w:eastAsia="zh-CN"/>
        </w:rPr>
        <w:t>6</w:t>
      </w:r>
      <w:r>
        <w:rPr>
          <w:rFonts w:hint="default" w:ascii="Times New Roman" w:hAnsi="Times New Roman" w:eastAsia="宋体" w:cs="Times New Roman"/>
          <w:color w:val="000000"/>
          <w:sz w:val="24"/>
          <w:u w:val="single"/>
        </w:rPr>
        <w:t>：00</w:t>
      </w:r>
      <w:r>
        <w:rPr>
          <w:rFonts w:hint="default" w:ascii="Times New Roman" w:hAnsi="Times New Roman" w:eastAsia="宋体" w:cs="Times New Roman"/>
          <w:color w:val="000000"/>
          <w:sz w:val="24"/>
        </w:rPr>
        <w:t>之前发送至采购人邮箱：</w:t>
      </w:r>
      <w:r>
        <w:rPr>
          <w:rFonts w:hint="eastAsia" w:cs="Times New Roman"/>
          <w:color w:val="000000"/>
          <w:sz w:val="24"/>
          <w:lang w:val="en-US" w:eastAsia="zh-CN"/>
        </w:rPr>
        <w:t>1376039885</w:t>
      </w:r>
      <w:r>
        <w:rPr>
          <w:rFonts w:hint="default" w:ascii="Times New Roman" w:hAnsi="Times New Roman" w:eastAsia="宋体" w:cs="Times New Roman"/>
          <w:color w:val="000000"/>
          <w:sz w:val="24"/>
          <w:lang w:val="en-US" w:eastAsia="zh-CN"/>
        </w:rPr>
        <w:t>@qq</w:t>
      </w:r>
      <w:r>
        <w:rPr>
          <w:rFonts w:hint="default" w:ascii="Times New Roman" w:hAnsi="Times New Roman" w:eastAsia="宋体" w:cs="Times New Roman"/>
          <w:snapToGrid w:val="0"/>
          <w:color w:val="000000"/>
          <w:kern w:val="0"/>
          <w:sz w:val="24"/>
        </w:rPr>
        <w:t>.com，逾期无效。采购人在收到响应回执后根据供应商信用信誉等情况进行讨论提议，不再另行发布采购公告。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eastAsia="宋体" w:cs="Times New Roman"/>
          <w:b/>
          <w:snapToGrid w:val="0"/>
          <w:kern w:val="0"/>
          <w:sz w:val="24"/>
        </w:rPr>
      </w:pPr>
      <w:bookmarkStart w:id="10" w:name="_Toc332793818"/>
      <w:bookmarkStart w:id="11" w:name="_Toc332793891"/>
      <w:bookmarkStart w:id="12" w:name="_Toc332965960"/>
      <w:r>
        <w:rPr>
          <w:rFonts w:hint="default" w:ascii="Times New Roman" w:hAnsi="Times New Roman" w:eastAsia="宋体" w:cs="Times New Roman"/>
          <w:b/>
          <w:snapToGrid w:val="0"/>
          <w:kern w:val="0"/>
          <w:sz w:val="24"/>
        </w:rPr>
        <w:t>联系方式</w:t>
      </w:r>
      <w:bookmarkEnd w:id="10"/>
      <w:bookmarkEnd w:id="11"/>
      <w:bookmarkEnd w:id="12"/>
    </w:p>
    <w:p>
      <w:pPr>
        <w:topLinePunct/>
        <w:spacing w:line="360" w:lineRule="auto"/>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采购  人：广东诚泰交通科技发展有限公司</w:t>
      </w:r>
    </w:p>
    <w:p>
      <w:pPr>
        <w:topLinePunct/>
        <w:spacing w:line="360" w:lineRule="auto"/>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采购人地址：广州市番禺区洛浦街道北环路87号道路研究院二号楼</w:t>
      </w:r>
    </w:p>
    <w:p>
      <w:pPr>
        <w:topLinePunct/>
        <w:spacing w:line="360" w:lineRule="auto"/>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联  系  人：</w:t>
      </w:r>
      <w:r>
        <w:rPr>
          <w:rFonts w:hint="eastAsia" w:cs="Times New Roman"/>
          <w:color w:val="000000"/>
          <w:sz w:val="24"/>
          <w:lang w:val="en-US" w:eastAsia="zh-CN"/>
        </w:rPr>
        <w:t>李</w:t>
      </w:r>
      <w:r>
        <w:rPr>
          <w:rFonts w:hint="default" w:ascii="Times New Roman" w:hAnsi="Times New Roman" w:eastAsia="宋体" w:cs="Times New Roman"/>
          <w:color w:val="000000"/>
          <w:sz w:val="24"/>
        </w:rPr>
        <w:t>工</w:t>
      </w:r>
    </w:p>
    <w:p>
      <w:pPr>
        <w:topLinePunct/>
        <w:spacing w:line="360" w:lineRule="auto"/>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电      话：020-39185740</w:t>
      </w:r>
    </w:p>
    <w:p>
      <w:pPr>
        <w:topLinePunct/>
        <w:spacing w:line="360" w:lineRule="auto"/>
        <w:jc w:val="right"/>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广东诚泰交通科技发展有限公司</w:t>
      </w:r>
    </w:p>
    <w:p>
      <w:pPr>
        <w:topLinePunct/>
        <w:spacing w:line="360" w:lineRule="auto"/>
        <w:jc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 xml:space="preserve">                                              2023年</w:t>
      </w:r>
      <w:r>
        <w:rPr>
          <w:rFonts w:hint="default" w:ascii="Times New Roman" w:hAnsi="Times New Roman" w:eastAsia="宋体" w:cs="Times New Roman"/>
          <w:color w:val="000000"/>
          <w:sz w:val="24"/>
          <w:lang w:val="en-US" w:eastAsia="zh-CN"/>
        </w:rPr>
        <w:t>04</w:t>
      </w:r>
      <w:bookmarkStart w:id="13" w:name="_GoBack"/>
      <w:bookmarkEnd w:id="13"/>
      <w:r>
        <w:rPr>
          <w:rFonts w:hint="default" w:ascii="Times New Roman" w:hAnsi="Times New Roman" w:eastAsia="宋体" w:cs="Times New Roman"/>
          <w:color w:val="000000"/>
          <w:sz w:val="24"/>
        </w:rPr>
        <w:t>月</w:t>
      </w:r>
      <w:r>
        <w:rPr>
          <w:rFonts w:hint="eastAsia" w:cs="Times New Roman"/>
          <w:color w:val="000000"/>
          <w:sz w:val="24"/>
          <w:lang w:val="en-US" w:eastAsia="zh-CN"/>
        </w:rPr>
        <w:t>25</w:t>
      </w:r>
      <w:r>
        <w:rPr>
          <w:rFonts w:hint="default" w:ascii="Times New Roman" w:hAnsi="Times New Roman" w:eastAsia="宋体" w:cs="Times New Roman"/>
          <w:color w:val="000000"/>
          <w:sz w:val="24"/>
        </w:rPr>
        <w:t>日</w:t>
      </w:r>
    </w:p>
    <w:p>
      <w:pPr>
        <w:rPr>
          <w:rFonts w:hint="default" w:ascii="Times New Roman" w:hAnsi="Times New Roman" w:eastAsia="宋体"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panose1 w:val="02040602050305030304"/>
    <w:charset w:val="00"/>
    <w:family w:val="roman"/>
    <w:pitch w:val="default"/>
    <w:sig w:usb0="00000287"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DFA5C7BD"/>
    <w:multiLevelType w:val="multilevel"/>
    <w:tmpl w:val="DFA5C7BD"/>
    <w:lvl w:ilvl="0" w:tentative="0">
      <w:start w:val="1"/>
      <w:numFmt w:val="bullet"/>
      <w:lvlText w:val="-"/>
      <w:lvlJc w:val="left"/>
      <w:pPr>
        <w:ind w:left="420" w:hanging="420"/>
      </w:pPr>
      <w:rPr>
        <w:rFonts w:hint="eastAsia" w:ascii="宋体" w:hAnsi="宋体" w:eastAsia="宋体"/>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EE7E7530"/>
    <w:multiLevelType w:val="singleLevel"/>
    <w:tmpl w:val="EE7E7530"/>
    <w:lvl w:ilvl="0" w:tentative="0">
      <w:start w:val="1"/>
      <w:numFmt w:val="decimal"/>
      <w:lvlText w:val="%1."/>
      <w:lvlJc w:val="left"/>
      <w:pPr>
        <w:ind w:left="425" w:hanging="425"/>
      </w:pPr>
      <w:rPr>
        <w:rFonts w:hint="default"/>
      </w:rPr>
    </w:lvl>
  </w:abstractNum>
  <w:abstractNum w:abstractNumId="4">
    <w:nsid w:val="013C05B0"/>
    <w:multiLevelType w:val="multilevel"/>
    <w:tmpl w:val="013C05B0"/>
    <w:lvl w:ilvl="0" w:tentative="0">
      <w:start w:val="1"/>
      <w:numFmt w:val="bullet"/>
      <w:lvlText w:val="-"/>
      <w:lvlJc w:val="left"/>
      <w:pPr>
        <w:ind w:left="420" w:hanging="420"/>
      </w:pPr>
      <w:rPr>
        <w:rFonts w:hint="eastAsia" w:ascii="宋体" w:hAnsi="宋体" w:eastAsia="宋体"/>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9"/>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7"/>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31"/>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7"/>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8"/>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6">
    <w:nsid w:val="4C61694A"/>
    <w:multiLevelType w:val="multilevel"/>
    <w:tmpl w:val="4C61694A"/>
    <w:lvl w:ilvl="0" w:tentative="0">
      <w:start w:val="1"/>
      <w:numFmt w:val="bullet"/>
      <w:lvlText w:val="-"/>
      <w:lvlJc w:val="left"/>
      <w:pPr>
        <w:ind w:left="839" w:firstLine="1"/>
      </w:pPr>
      <w:rPr>
        <w:rFonts w:hint="eastAsia" w:ascii="宋体" w:hAnsi="宋体" w:eastAsia="宋体"/>
      </w:rPr>
    </w:lvl>
    <w:lvl w:ilvl="1" w:tentative="0">
      <w:start w:val="1"/>
      <w:numFmt w:val="bullet"/>
      <w:lvlText w:val=""/>
      <w:lvlJc w:val="left"/>
      <w:pPr>
        <w:ind w:left="1680" w:hanging="420"/>
      </w:pPr>
      <w:rPr>
        <w:rFonts w:hint="default" w:ascii="Wingdings" w:hAnsi="Wingdings"/>
      </w:rPr>
    </w:lvl>
    <w:lvl w:ilvl="2" w:tentative="0">
      <w:start w:val="1"/>
      <w:numFmt w:val="bullet"/>
      <w:lvlText w:val=""/>
      <w:lvlJc w:val="left"/>
      <w:pPr>
        <w:ind w:left="2100" w:hanging="420"/>
      </w:pPr>
      <w:rPr>
        <w:rFonts w:hint="default" w:ascii="Wingdings" w:hAnsi="Wingdings"/>
      </w:rPr>
    </w:lvl>
    <w:lvl w:ilvl="3" w:tentative="0">
      <w:start w:val="1"/>
      <w:numFmt w:val="bullet"/>
      <w:lvlText w:val=""/>
      <w:lvlJc w:val="left"/>
      <w:pPr>
        <w:ind w:left="2520" w:hanging="420"/>
      </w:pPr>
      <w:rPr>
        <w:rFonts w:hint="default" w:ascii="Wingdings" w:hAnsi="Wingdings"/>
      </w:rPr>
    </w:lvl>
    <w:lvl w:ilvl="4" w:tentative="0">
      <w:start w:val="1"/>
      <w:numFmt w:val="bullet"/>
      <w:lvlText w:val=""/>
      <w:lvlJc w:val="left"/>
      <w:pPr>
        <w:ind w:left="2940" w:hanging="420"/>
      </w:pPr>
      <w:rPr>
        <w:rFonts w:hint="default" w:ascii="Wingdings" w:hAnsi="Wingdings"/>
      </w:rPr>
    </w:lvl>
    <w:lvl w:ilvl="5" w:tentative="0">
      <w:start w:val="1"/>
      <w:numFmt w:val="bullet"/>
      <w:lvlText w:val=""/>
      <w:lvlJc w:val="left"/>
      <w:pPr>
        <w:ind w:left="3360" w:hanging="420"/>
      </w:pPr>
      <w:rPr>
        <w:rFonts w:hint="default" w:ascii="Wingdings" w:hAnsi="Wingdings"/>
      </w:rPr>
    </w:lvl>
    <w:lvl w:ilvl="6" w:tentative="0">
      <w:start w:val="1"/>
      <w:numFmt w:val="bullet"/>
      <w:lvlText w:val=""/>
      <w:lvlJc w:val="left"/>
      <w:pPr>
        <w:ind w:left="3780" w:hanging="420"/>
      </w:pPr>
      <w:rPr>
        <w:rFonts w:hint="default" w:ascii="Wingdings" w:hAnsi="Wingdings"/>
      </w:rPr>
    </w:lvl>
    <w:lvl w:ilvl="7" w:tentative="0">
      <w:start w:val="1"/>
      <w:numFmt w:val="bullet"/>
      <w:lvlText w:val=""/>
      <w:lvlJc w:val="left"/>
      <w:pPr>
        <w:ind w:left="4200" w:hanging="420"/>
      </w:pPr>
      <w:rPr>
        <w:rFonts w:hint="default" w:ascii="Wingdings" w:hAnsi="Wingdings"/>
      </w:rPr>
    </w:lvl>
    <w:lvl w:ilvl="8" w:tentative="0">
      <w:start w:val="1"/>
      <w:numFmt w:val="bullet"/>
      <w:lvlText w:val=""/>
      <w:lvlJc w:val="left"/>
      <w:pPr>
        <w:ind w:left="4620" w:hanging="420"/>
      </w:pPr>
      <w:rPr>
        <w:rFonts w:hint="default" w:ascii="Wingdings" w:hAnsi="Wingdings"/>
      </w:rPr>
    </w:lvl>
  </w:abstractNum>
  <w:abstractNum w:abstractNumId="7">
    <w:nsid w:val="664D76C3"/>
    <w:multiLevelType w:val="multilevel"/>
    <w:tmpl w:val="664D76C3"/>
    <w:lvl w:ilvl="0" w:tentative="0">
      <w:start w:val="1"/>
      <w:numFmt w:val="decimal"/>
      <w:lvlText w:val="(%1)."/>
      <w:lvlJc w:val="left"/>
      <w:pPr>
        <w:ind w:left="2688"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6E230785"/>
    <w:multiLevelType w:val="multilevel"/>
    <w:tmpl w:val="6E230785"/>
    <w:lvl w:ilvl="0" w:tentative="0">
      <w:start w:val="1"/>
      <w:numFmt w:val="bullet"/>
      <w:pStyle w:val="36"/>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3"/>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4"/>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5"/>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40"/>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2"/>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8"/>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9"/>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abstractNum w:abstractNumId="9">
    <w:nsid w:val="76F315D5"/>
    <w:multiLevelType w:val="multilevel"/>
    <w:tmpl w:val="76F315D5"/>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8"/>
  </w:num>
  <w:num w:numId="3">
    <w:abstractNumId w:val="0"/>
  </w:num>
  <w:num w:numId="4">
    <w:abstractNumId w:val="1"/>
  </w:num>
  <w:num w:numId="5">
    <w:abstractNumId w:val="3"/>
  </w:num>
  <w:num w:numId="6">
    <w:abstractNumId w:val="2"/>
  </w:num>
  <w:num w:numId="7">
    <w:abstractNumId w:val="4"/>
  </w:num>
  <w:num w:numId="8">
    <w:abstractNumId w:val="9"/>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WZkOTkzOGFkNGEzMDNjMmUwMmNjNzM0N2MyZjUwMDQifQ=="/>
  </w:docVars>
  <w:rsids>
    <w:rsidRoot w:val="00172A27"/>
    <w:rsid w:val="00123FE3"/>
    <w:rsid w:val="001301C5"/>
    <w:rsid w:val="00172A27"/>
    <w:rsid w:val="00477707"/>
    <w:rsid w:val="005603E4"/>
    <w:rsid w:val="00791D96"/>
    <w:rsid w:val="009006FE"/>
    <w:rsid w:val="009A3C9A"/>
    <w:rsid w:val="00CC1A2E"/>
    <w:rsid w:val="00ED32E4"/>
    <w:rsid w:val="00EE2011"/>
    <w:rsid w:val="00FA736A"/>
    <w:rsid w:val="00FC4153"/>
    <w:rsid w:val="00FD7ED5"/>
    <w:rsid w:val="02040FDF"/>
    <w:rsid w:val="03393105"/>
    <w:rsid w:val="03C33A72"/>
    <w:rsid w:val="046E3765"/>
    <w:rsid w:val="061439B5"/>
    <w:rsid w:val="06622CB2"/>
    <w:rsid w:val="072D08E0"/>
    <w:rsid w:val="08EE3671"/>
    <w:rsid w:val="0A69025B"/>
    <w:rsid w:val="0AA572D2"/>
    <w:rsid w:val="0DA26991"/>
    <w:rsid w:val="0ECB4993"/>
    <w:rsid w:val="112A7044"/>
    <w:rsid w:val="12A97F6B"/>
    <w:rsid w:val="12CC7AF2"/>
    <w:rsid w:val="12ED5CBA"/>
    <w:rsid w:val="14C447F8"/>
    <w:rsid w:val="179D0A50"/>
    <w:rsid w:val="18606150"/>
    <w:rsid w:val="19B32EC3"/>
    <w:rsid w:val="1A786886"/>
    <w:rsid w:val="1D5379E4"/>
    <w:rsid w:val="1DC008E5"/>
    <w:rsid w:val="1F3E25C9"/>
    <w:rsid w:val="1F8905C9"/>
    <w:rsid w:val="20205D7D"/>
    <w:rsid w:val="2039362C"/>
    <w:rsid w:val="20607ACB"/>
    <w:rsid w:val="227214CF"/>
    <w:rsid w:val="228C5E52"/>
    <w:rsid w:val="24875F4B"/>
    <w:rsid w:val="27856069"/>
    <w:rsid w:val="28126A09"/>
    <w:rsid w:val="292922C2"/>
    <w:rsid w:val="2A6117E0"/>
    <w:rsid w:val="2A9C2048"/>
    <w:rsid w:val="2B975488"/>
    <w:rsid w:val="2BB05A29"/>
    <w:rsid w:val="2BBE1469"/>
    <w:rsid w:val="2C101B15"/>
    <w:rsid w:val="2D393A69"/>
    <w:rsid w:val="2E0860D1"/>
    <w:rsid w:val="2E5A20BA"/>
    <w:rsid w:val="2ECB5FE2"/>
    <w:rsid w:val="30314FE0"/>
    <w:rsid w:val="31A33CBC"/>
    <w:rsid w:val="34403FA4"/>
    <w:rsid w:val="34DB5F68"/>
    <w:rsid w:val="35912415"/>
    <w:rsid w:val="38A511DA"/>
    <w:rsid w:val="3A7D6982"/>
    <w:rsid w:val="3BDA652C"/>
    <w:rsid w:val="3C047712"/>
    <w:rsid w:val="3DD1395F"/>
    <w:rsid w:val="3E100BCD"/>
    <w:rsid w:val="3E8C010F"/>
    <w:rsid w:val="3EFD65C9"/>
    <w:rsid w:val="3FA27361"/>
    <w:rsid w:val="400E2C48"/>
    <w:rsid w:val="403A795B"/>
    <w:rsid w:val="4044389B"/>
    <w:rsid w:val="40936A21"/>
    <w:rsid w:val="40C03B09"/>
    <w:rsid w:val="42100EF9"/>
    <w:rsid w:val="434B112E"/>
    <w:rsid w:val="435E6014"/>
    <w:rsid w:val="44A30E69"/>
    <w:rsid w:val="46C97C03"/>
    <w:rsid w:val="472B5FAC"/>
    <w:rsid w:val="47EB4120"/>
    <w:rsid w:val="48AD79E8"/>
    <w:rsid w:val="4908486B"/>
    <w:rsid w:val="49DC5C4D"/>
    <w:rsid w:val="4A44006F"/>
    <w:rsid w:val="4BFB311F"/>
    <w:rsid w:val="4D4844E5"/>
    <w:rsid w:val="4DA31AFF"/>
    <w:rsid w:val="4DB34E2F"/>
    <w:rsid w:val="50DE6FEF"/>
    <w:rsid w:val="515756D7"/>
    <w:rsid w:val="523D3544"/>
    <w:rsid w:val="52871060"/>
    <w:rsid w:val="52BF1F4D"/>
    <w:rsid w:val="52ED4007"/>
    <w:rsid w:val="54210D44"/>
    <w:rsid w:val="55306D65"/>
    <w:rsid w:val="560F1B9D"/>
    <w:rsid w:val="57BF2D4E"/>
    <w:rsid w:val="58B04768"/>
    <w:rsid w:val="58B74CBC"/>
    <w:rsid w:val="5B2814D9"/>
    <w:rsid w:val="5E8E770E"/>
    <w:rsid w:val="5F087C2D"/>
    <w:rsid w:val="606D5311"/>
    <w:rsid w:val="61147E15"/>
    <w:rsid w:val="623B7383"/>
    <w:rsid w:val="63166D1A"/>
    <w:rsid w:val="65922BE0"/>
    <w:rsid w:val="68FB5190"/>
    <w:rsid w:val="6AC87D14"/>
    <w:rsid w:val="6C083654"/>
    <w:rsid w:val="6C094604"/>
    <w:rsid w:val="6C751B3B"/>
    <w:rsid w:val="6E354925"/>
    <w:rsid w:val="6E4A295F"/>
    <w:rsid w:val="710B2708"/>
    <w:rsid w:val="724471CD"/>
    <w:rsid w:val="73440153"/>
    <w:rsid w:val="74963E13"/>
    <w:rsid w:val="760D37CC"/>
    <w:rsid w:val="79E2018B"/>
    <w:rsid w:val="7AB074F6"/>
    <w:rsid w:val="7C7F737F"/>
    <w:rsid w:val="7DD345AE"/>
    <w:rsid w:val="7EA65E2B"/>
    <w:rsid w:val="7F263D72"/>
    <w:rsid w:val="7FCB0EE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9"/>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20"/>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7"/>
    <w:next w:val="8"/>
    <w:link w:val="21"/>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9">
    <w:name w:val="heading 5"/>
    <w:basedOn w:val="1"/>
    <w:next w:val="1"/>
    <w:link w:val="22"/>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7">
    <w:name w:val="Body Text Indent 2"/>
    <w:basedOn w:val="1"/>
    <w:qFormat/>
    <w:uiPriority w:val="0"/>
    <w:pPr>
      <w:adjustRightInd w:val="0"/>
      <w:spacing w:line="360" w:lineRule="auto"/>
      <w:ind w:firstLine="513"/>
      <w:textAlignment w:val="baseline"/>
    </w:pPr>
    <w:rPr>
      <w:rFonts w:ascii="楷体_GB2312" w:eastAsia="楷体_GB2312"/>
      <w:sz w:val="24"/>
      <w:szCs w:val="20"/>
    </w:rPr>
  </w:style>
  <w:style w:type="paragraph" w:styleId="8">
    <w:name w:val="Normal Indent"/>
    <w:basedOn w:val="1"/>
    <w:qFormat/>
    <w:uiPriority w:val="99"/>
    <w:pPr>
      <w:ind w:firstLine="420" w:firstLineChars="200"/>
    </w:pPr>
  </w:style>
  <w:style w:type="paragraph" w:styleId="10">
    <w:name w:val="Body Text"/>
    <w:basedOn w:val="1"/>
    <w:next w:val="1"/>
    <w:qFormat/>
    <w:uiPriority w:val="0"/>
    <w:pPr>
      <w:spacing w:after="120"/>
    </w:pPr>
    <w:rPr>
      <w:rFonts w:ascii="Calibri" w:hAnsi="宋体"/>
    </w:rPr>
  </w:style>
  <w:style w:type="paragraph" w:styleId="11">
    <w:name w:val="Plain Text"/>
    <w:basedOn w:val="1"/>
    <w:next w:val="1"/>
    <w:qFormat/>
    <w:uiPriority w:val="0"/>
    <w:rPr>
      <w:rFonts w:ascii="宋体" w:hAnsi="Courier New"/>
      <w:szCs w:val="20"/>
    </w:rPr>
  </w:style>
  <w:style w:type="paragraph" w:styleId="12">
    <w:name w:val="Balloon Text"/>
    <w:basedOn w:val="1"/>
    <w:link w:val="41"/>
    <w:qFormat/>
    <w:uiPriority w:val="0"/>
    <w:rPr>
      <w:sz w:val="18"/>
      <w:szCs w:val="18"/>
    </w:rPr>
  </w:style>
  <w:style w:type="paragraph" w:styleId="13">
    <w:name w:val="footer"/>
    <w:basedOn w:val="1"/>
    <w:link w:val="18"/>
    <w:qFormat/>
    <w:uiPriority w:val="0"/>
    <w:pPr>
      <w:tabs>
        <w:tab w:val="center" w:pos="4153"/>
        <w:tab w:val="right" w:pos="8306"/>
      </w:tabs>
      <w:snapToGrid w:val="0"/>
      <w:jc w:val="left"/>
    </w:pPr>
    <w:rPr>
      <w:sz w:val="18"/>
      <w:szCs w:val="18"/>
    </w:rPr>
  </w:style>
  <w:style w:type="paragraph" w:styleId="14">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character" w:customStyle="1" w:styleId="17">
    <w:name w:val="页眉 Char"/>
    <w:basedOn w:val="16"/>
    <w:link w:val="14"/>
    <w:qFormat/>
    <w:uiPriority w:val="0"/>
    <w:rPr>
      <w:kern w:val="2"/>
      <w:sz w:val="18"/>
      <w:szCs w:val="18"/>
    </w:rPr>
  </w:style>
  <w:style w:type="character" w:customStyle="1" w:styleId="18">
    <w:name w:val="页脚 Char"/>
    <w:basedOn w:val="16"/>
    <w:link w:val="13"/>
    <w:qFormat/>
    <w:uiPriority w:val="0"/>
    <w:rPr>
      <w:kern w:val="2"/>
      <w:sz w:val="18"/>
      <w:szCs w:val="18"/>
    </w:rPr>
  </w:style>
  <w:style w:type="character" w:customStyle="1" w:styleId="19">
    <w:name w:val="标题 2 Char"/>
    <w:basedOn w:val="16"/>
    <w:link w:val="4"/>
    <w:qFormat/>
    <w:uiPriority w:val="0"/>
    <w:rPr>
      <w:rFonts w:ascii="Book Antiqua" w:hAnsi="Book Antiqua" w:eastAsia="黑体" w:cs="Book Antiqua"/>
      <w:bCs/>
      <w:sz w:val="36"/>
      <w:szCs w:val="36"/>
      <w:lang w:eastAsia="en-US"/>
    </w:rPr>
  </w:style>
  <w:style w:type="character" w:customStyle="1" w:styleId="20">
    <w:name w:val="标题 3 Char"/>
    <w:basedOn w:val="16"/>
    <w:link w:val="5"/>
    <w:qFormat/>
    <w:uiPriority w:val="0"/>
    <w:rPr>
      <w:rFonts w:ascii="Book Antiqua" w:hAnsi="Book Antiqua" w:eastAsia="黑体" w:cs="宋体"/>
      <w:sz w:val="32"/>
      <w:szCs w:val="32"/>
    </w:rPr>
  </w:style>
  <w:style w:type="character" w:customStyle="1" w:styleId="21">
    <w:name w:val="标题 4 Char"/>
    <w:basedOn w:val="16"/>
    <w:link w:val="6"/>
    <w:qFormat/>
    <w:uiPriority w:val="0"/>
    <w:rPr>
      <w:rFonts w:ascii="Book Antiqua" w:hAnsi="Book Antiqua" w:eastAsia="黑体" w:cs="宋体"/>
      <w:sz w:val="28"/>
      <w:szCs w:val="28"/>
    </w:rPr>
  </w:style>
  <w:style w:type="character" w:customStyle="1" w:styleId="22">
    <w:name w:val="标题 5 Char"/>
    <w:basedOn w:val="16"/>
    <w:link w:val="9"/>
    <w:qFormat/>
    <w:uiPriority w:val="0"/>
    <w:rPr>
      <w:rFonts w:ascii="Book Antiqua" w:hAnsi="Book Antiqua" w:eastAsia="黑体" w:cs="宋体"/>
      <w:sz w:val="24"/>
      <w:szCs w:val="24"/>
    </w:rPr>
  </w:style>
  <w:style w:type="paragraph" w:styleId="23">
    <w:name w:val="List Paragraph"/>
    <w:basedOn w:val="1"/>
    <w:link w:val="24"/>
    <w:qFormat/>
    <w:uiPriority w:val="34"/>
    <w:pPr>
      <w:ind w:firstLine="420" w:firstLineChars="200"/>
    </w:pPr>
    <w:rPr>
      <w:rFonts w:asciiTheme="minorHAnsi" w:hAnsiTheme="minorHAnsi" w:eastAsiaTheme="minorEastAsia" w:cstheme="minorBidi"/>
      <w:szCs w:val="22"/>
    </w:rPr>
  </w:style>
  <w:style w:type="character" w:customStyle="1" w:styleId="24">
    <w:name w:val="列出段落 Char"/>
    <w:link w:val="23"/>
    <w:qFormat/>
    <w:uiPriority w:val="34"/>
    <w:rPr>
      <w:rFonts w:asciiTheme="minorHAnsi" w:hAnsiTheme="minorHAnsi" w:eastAsiaTheme="minorEastAsia" w:cstheme="minorBidi"/>
      <w:kern w:val="2"/>
      <w:sz w:val="21"/>
      <w:szCs w:val="22"/>
    </w:rPr>
  </w:style>
  <w:style w:type="character" w:customStyle="1" w:styleId="25">
    <w:name w:val="Item Step in table Char Char"/>
    <w:link w:val="26"/>
    <w:qFormat/>
    <w:uiPriority w:val="0"/>
    <w:rPr>
      <w:rFonts w:cs="Arial"/>
      <w:bCs/>
      <w:szCs w:val="28"/>
    </w:rPr>
  </w:style>
  <w:style w:type="paragraph" w:customStyle="1" w:styleId="26">
    <w:name w:val="Item Step in table"/>
    <w:basedOn w:val="9"/>
    <w:link w:val="25"/>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7">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8">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9">
    <w:name w:val="Table Text Char"/>
    <w:link w:val="30"/>
    <w:qFormat/>
    <w:uiPriority w:val="0"/>
    <w:rPr>
      <w:rFonts w:cs="Arial"/>
      <w:szCs w:val="21"/>
    </w:rPr>
  </w:style>
  <w:style w:type="paragraph" w:customStyle="1" w:styleId="30">
    <w:name w:val="Table Text"/>
    <w:basedOn w:val="1"/>
    <w:link w:val="29"/>
    <w:qFormat/>
    <w:uiPriority w:val="0"/>
    <w:pPr>
      <w:topLinePunct/>
      <w:adjustRightInd w:val="0"/>
      <w:snapToGrid w:val="0"/>
      <w:spacing w:before="80" w:after="80" w:line="240" w:lineRule="atLeast"/>
      <w:jc w:val="left"/>
    </w:pPr>
    <w:rPr>
      <w:rFonts w:cs="Arial"/>
      <w:kern w:val="0"/>
      <w:sz w:val="20"/>
      <w:szCs w:val="21"/>
    </w:rPr>
  </w:style>
  <w:style w:type="paragraph" w:customStyle="1" w:styleId="31">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2">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3">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5">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6">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7">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8">
    <w:name w:val="Notes Text Step"/>
    <w:basedOn w:val="32"/>
    <w:qFormat/>
    <w:uiPriority w:val="0"/>
    <w:pPr>
      <w:numPr>
        <w:ilvl w:val="6"/>
      </w:numPr>
      <w:pBdr>
        <w:bottom w:val="none" w:color="auto" w:sz="0" w:space="0"/>
      </w:pBdr>
      <w:spacing w:before="40" w:line="200" w:lineRule="atLeast"/>
    </w:pPr>
    <w:rPr>
      <w:sz w:val="18"/>
      <w:szCs w:val="18"/>
    </w:rPr>
  </w:style>
  <w:style w:type="paragraph" w:customStyle="1" w:styleId="39">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40">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41">
    <w:name w:val="批注框文本 Char"/>
    <w:basedOn w:val="16"/>
    <w:link w:val="12"/>
    <w:qFormat/>
    <w:uiPriority w:val="0"/>
    <w:rPr>
      <w:kern w:val="2"/>
      <w:sz w:val="18"/>
      <w:szCs w:val="18"/>
    </w:rPr>
  </w:style>
  <w:style w:type="character" w:customStyle="1" w:styleId="42">
    <w:name w:val="font41"/>
    <w:basedOn w:val="16"/>
    <w:qFormat/>
    <w:uiPriority w:val="0"/>
    <w:rPr>
      <w:rFonts w:hint="default" w:ascii="Times New Roman" w:hAnsi="Times New Roman" w:cs="Times New Roman"/>
      <w:color w:val="000000"/>
      <w:sz w:val="18"/>
      <w:szCs w:val="18"/>
      <w:u w:val="none"/>
    </w:rPr>
  </w:style>
  <w:style w:type="character" w:customStyle="1" w:styleId="43">
    <w:name w:val="font31"/>
    <w:basedOn w:val="16"/>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3834</Words>
  <Characters>4616</Characters>
  <Lines>61</Lines>
  <Paragraphs>17</Paragraphs>
  <TotalTime>207</TotalTime>
  <ScaleCrop>false</ScaleCrop>
  <LinksUpToDate>false</LinksUpToDate>
  <CharactersWithSpaces>4803</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倾她国@做她王</cp:lastModifiedBy>
  <cp:lastPrinted>2022-10-20T06:50:00Z</cp:lastPrinted>
  <dcterms:modified xsi:type="dcterms:W3CDTF">2023-04-25T06:16:41Z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B75484C30A0D48A998196F431A9A3E69</vt:lpwstr>
  </property>
</Properties>
</file>