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lang w:eastAsia="zh-CN"/>
        </w:rPr>
        <w:t>广州市从化至黄埔高速公路一期工程机电工程（SG09合同段）</w:t>
      </w:r>
      <w:r>
        <w:rPr>
          <w:rFonts w:hint="eastAsia" w:eastAsia="仿宋_GB2312" w:cs="Times New Roman"/>
          <w:b/>
          <w:color w:val="000000"/>
          <w:sz w:val="32"/>
          <w:szCs w:val="32"/>
          <w:lang w:val="en-US" w:eastAsia="zh-CN"/>
        </w:rPr>
        <w:t>票据打印机</w:t>
      </w:r>
      <w:r>
        <w:rPr>
          <w:rFonts w:hint="default" w:ascii="Times New Roman" w:hAnsi="Times New Roman" w:eastAsia="仿宋_GB2312" w:cs="Times New Roman"/>
          <w:b/>
          <w:color w:val="000000"/>
          <w:sz w:val="32"/>
          <w:szCs w:val="32"/>
          <w:lang w:val="en-US" w:eastAsia="zh-CN"/>
        </w:rPr>
        <w:t>、</w:t>
      </w:r>
      <w:r>
        <w:rPr>
          <w:rFonts w:hint="eastAsia" w:eastAsia="仿宋_GB2312" w:cs="Times New Roman"/>
          <w:b/>
          <w:color w:val="000000"/>
          <w:sz w:val="32"/>
          <w:szCs w:val="32"/>
          <w:lang w:val="en-US" w:eastAsia="zh-CN"/>
        </w:rPr>
        <w:t>便携机</w:t>
      </w:r>
      <w:r>
        <w:rPr>
          <w:rFonts w:hint="default" w:eastAsia="仿宋_GB2312" w:cs="Times New Roman"/>
          <w:b/>
          <w:color w:val="000000"/>
          <w:sz w:val="32"/>
          <w:szCs w:val="32"/>
          <w:lang w:val="en-US" w:eastAsia="zh-CN"/>
        </w:rPr>
        <w:t>、CPC卡读写器</w:t>
      </w:r>
      <w:r>
        <w:rPr>
          <w:rFonts w:hint="default" w:ascii="Times New Roman" w:hAnsi="Times New Roman" w:eastAsia="仿宋_GB2312" w:cs="Times New Roman"/>
          <w:b/>
          <w:color w:val="000000"/>
          <w:sz w:val="32"/>
          <w:szCs w:val="32"/>
        </w:rPr>
        <w:t>采购意向征集公告</w:t>
      </w:r>
    </w:p>
    <w:p>
      <w:pPr>
        <w:spacing w:line="360" w:lineRule="auto"/>
        <w:jc w:val="center"/>
        <w:outlineLvl w:val="1"/>
        <w:rPr>
          <w:rFonts w:hint="default" w:ascii="Times New Roman" w:hAnsi="Times New Roman" w:cs="Times New Roman"/>
          <w:sz w:val="24"/>
        </w:rPr>
      </w:pP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项目概况</w:t>
      </w:r>
    </w:p>
    <w:p>
      <w:pPr>
        <w:wordWrap w:val="0"/>
        <w:topLinePunct/>
        <w:spacing w:line="360" w:lineRule="auto"/>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1.1项目名称：</w:t>
      </w:r>
      <w:r>
        <w:rPr>
          <w:rFonts w:hint="default" w:ascii="Times New Roman" w:hAnsi="Times New Roman" w:eastAsia="宋体" w:cs="Times New Roman"/>
          <w:bCs/>
          <w:snapToGrid w:val="0"/>
          <w:kern w:val="0"/>
          <w:sz w:val="24"/>
          <w:lang w:eastAsia="zh-CN"/>
        </w:rPr>
        <w:t>广州市从化至黄埔高速公路一期工程机电工程（SG09合同段）</w:t>
      </w:r>
    </w:p>
    <w:p>
      <w:pPr>
        <w:wordWrap w:val="0"/>
        <w:topLinePunct/>
        <w:spacing w:line="360" w:lineRule="auto"/>
        <w:ind w:firstLine="566" w:firstLineChars="236"/>
        <w:rPr>
          <w:rFonts w:hint="default" w:ascii="Times New Roman" w:hAnsi="Times New Roman" w:cs="Times New Roman"/>
        </w:rPr>
      </w:pPr>
      <w:r>
        <w:rPr>
          <w:rFonts w:hint="default" w:ascii="Times New Roman" w:hAnsi="Times New Roman" w:cs="Times New Roman"/>
          <w:bCs/>
          <w:snapToGrid w:val="0"/>
          <w:kern w:val="0"/>
          <w:sz w:val="24"/>
        </w:rPr>
        <w:t>1.2项目地点：广州市</w:t>
      </w:r>
    </w:p>
    <w:p>
      <w:pPr>
        <w:numPr>
          <w:ilvl w:val="0"/>
          <w:numId w:val="3"/>
        </w:numPr>
        <w:topLinePunct/>
        <w:spacing w:line="360" w:lineRule="auto"/>
        <w:outlineLvl w:val="1"/>
        <w:rPr>
          <w:rFonts w:hint="default" w:ascii="Times New Roman" w:hAnsi="Times New Roman" w:cs="Times New Roman"/>
          <w:b/>
        </w:rPr>
      </w:pPr>
      <w:r>
        <w:rPr>
          <w:rFonts w:hint="default" w:ascii="Times New Roman" w:hAnsi="Times New Roman" w:cs="Times New Roman"/>
          <w:b/>
          <w:snapToGrid w:val="0"/>
          <w:kern w:val="0"/>
          <w:sz w:val="24"/>
        </w:rPr>
        <w:t>具体工程量清单</w:t>
      </w:r>
    </w:p>
    <w:tbl>
      <w:tblPr>
        <w:tblStyle w:val="15"/>
        <w:tblW w:w="7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927"/>
        <w:gridCol w:w="1232"/>
        <w:gridCol w:w="762"/>
        <w:gridCol w:w="930"/>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989"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序号</w:t>
            </w:r>
          </w:p>
        </w:tc>
        <w:tc>
          <w:tcPr>
            <w:tcW w:w="1927"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lang w:eastAsia="zh-CN"/>
              </w:rPr>
              <w:t>设备</w:t>
            </w:r>
            <w:r>
              <w:rPr>
                <w:rFonts w:hint="default" w:ascii="Times New Roman" w:hAnsi="Times New Roman" w:cs="Times New Roman"/>
                <w:szCs w:val="21"/>
              </w:rPr>
              <w:t>名称</w:t>
            </w:r>
          </w:p>
        </w:tc>
        <w:tc>
          <w:tcPr>
            <w:tcW w:w="1232"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品牌/型号</w:t>
            </w:r>
          </w:p>
        </w:tc>
        <w:tc>
          <w:tcPr>
            <w:tcW w:w="762"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单位</w:t>
            </w:r>
          </w:p>
        </w:tc>
        <w:tc>
          <w:tcPr>
            <w:tcW w:w="930"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数量</w:t>
            </w:r>
          </w:p>
        </w:tc>
        <w:tc>
          <w:tcPr>
            <w:tcW w:w="1473"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89" w:type="dxa"/>
            <w:shd w:val="clear" w:color="auto" w:fill="auto"/>
            <w:vAlign w:val="center"/>
          </w:tcPr>
          <w:p>
            <w:pPr>
              <w:keepNext w:val="0"/>
              <w:keepLines w:val="0"/>
              <w:widowControl/>
              <w:suppressLineNumbers w:val="0"/>
              <w:spacing w:line="240" w:lineRule="auto"/>
              <w:jc w:val="center"/>
              <w:textAlignment w:val="bottom"/>
              <w:rPr>
                <w:rFonts w:hint="default" w:ascii="Times New Roman" w:hAnsi="Times New Roman" w:cs="Times New Roman" w:eastAsiaTheme="minorEastAsia"/>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802-3-6</w:t>
            </w:r>
          </w:p>
        </w:tc>
        <w:tc>
          <w:tcPr>
            <w:tcW w:w="1927"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cs="Times New Roman" w:eastAsiaTheme="minorEastAsia"/>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票据打印机</w:t>
            </w:r>
          </w:p>
        </w:tc>
        <w:tc>
          <w:tcPr>
            <w:tcW w:w="123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76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eastAsia="宋体" w:cs="Times New Roman"/>
                <w:b w:val="0"/>
                <w:bCs w:val="0"/>
                <w:kern w:val="2"/>
                <w:sz w:val="18"/>
                <w:szCs w:val="18"/>
                <w:lang w:val="en-US" w:eastAsia="zh-CN" w:bidi="ar-SA"/>
              </w:rPr>
              <w:t>台</w:t>
            </w:r>
          </w:p>
        </w:tc>
        <w:tc>
          <w:tcPr>
            <w:tcW w:w="93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cs="Times New Roman" w:eastAsiaTheme="minorEastAsia"/>
                <w:sz w:val="18"/>
                <w:szCs w:val="18"/>
                <w:lang w:val="en-US" w:eastAsia="zh-CN"/>
              </w:rPr>
            </w:pPr>
            <w:r>
              <w:rPr>
                <w:rFonts w:hint="default" w:ascii="Times New Roman" w:hAnsi="Times New Roman" w:eastAsia="宋体" w:cs="Times New Roman"/>
                <w:b w:val="0"/>
                <w:bCs w:val="0"/>
                <w:kern w:val="2"/>
                <w:sz w:val="18"/>
                <w:szCs w:val="18"/>
                <w:lang w:val="en-US" w:eastAsia="zh-CN" w:bidi="ar-SA"/>
              </w:rPr>
              <w:t>8</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89" w:type="dxa"/>
            <w:shd w:val="clear" w:color="auto" w:fill="auto"/>
            <w:vAlign w:val="center"/>
          </w:tcPr>
          <w:p>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802-3-17</w:t>
            </w:r>
          </w:p>
        </w:tc>
        <w:tc>
          <w:tcPr>
            <w:tcW w:w="1927"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便携机</w:t>
            </w:r>
          </w:p>
        </w:tc>
        <w:tc>
          <w:tcPr>
            <w:tcW w:w="123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18"/>
                <w:szCs w:val="18"/>
                <w:lang w:val="en-US" w:eastAsia="zh-CN" w:bidi="ar-SA"/>
              </w:rPr>
            </w:pPr>
          </w:p>
        </w:tc>
        <w:tc>
          <w:tcPr>
            <w:tcW w:w="762" w:type="dxa"/>
            <w:shd w:val="clear" w:color="auto" w:fill="auto"/>
            <w:vAlign w:val="center"/>
          </w:tcPr>
          <w:p>
            <w:pPr>
              <w:spacing w:beforeLines="50" w:afterLines="50" w:line="240" w:lineRule="auto"/>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eastAsiaTheme="minorEastAsia"/>
                <w:sz w:val="18"/>
                <w:szCs w:val="18"/>
                <w:lang w:val="en-US" w:eastAsia="zh-CN"/>
              </w:rPr>
              <w:t>套</w:t>
            </w:r>
          </w:p>
        </w:tc>
        <w:tc>
          <w:tcPr>
            <w:tcW w:w="93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kern w:val="2"/>
                <w:sz w:val="18"/>
                <w:szCs w:val="18"/>
                <w:lang w:val="en-US" w:eastAsia="zh-CN" w:bidi="ar-SA"/>
              </w:rPr>
              <w:t>18</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89" w:type="dxa"/>
            <w:shd w:val="clear" w:color="auto" w:fill="auto"/>
            <w:vAlign w:val="center"/>
          </w:tcPr>
          <w:p>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802-2-4</w:t>
            </w:r>
          </w:p>
        </w:tc>
        <w:tc>
          <w:tcPr>
            <w:tcW w:w="1927"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CPC卡读写器</w:t>
            </w:r>
          </w:p>
        </w:tc>
        <w:tc>
          <w:tcPr>
            <w:tcW w:w="1232"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18"/>
                <w:szCs w:val="18"/>
                <w:lang w:val="en-US" w:eastAsia="zh-CN" w:bidi="ar-SA"/>
              </w:rPr>
            </w:pPr>
          </w:p>
        </w:tc>
        <w:tc>
          <w:tcPr>
            <w:tcW w:w="762" w:type="dxa"/>
            <w:shd w:val="clear" w:color="auto" w:fill="auto"/>
            <w:vAlign w:val="center"/>
          </w:tcPr>
          <w:p>
            <w:pPr>
              <w:keepNext w:val="0"/>
              <w:keepLines w:val="0"/>
              <w:widowControl/>
              <w:suppressLineNumbers w:val="0"/>
              <w:spacing w:line="240" w:lineRule="auto"/>
              <w:jc w:val="center"/>
              <w:textAlignment w:val="bottom"/>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930" w:type="dxa"/>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kern w:val="2"/>
                <w:sz w:val="18"/>
                <w:szCs w:val="18"/>
                <w:lang w:val="en-US" w:eastAsia="zh-CN" w:bidi="ar-SA"/>
              </w:rPr>
              <w:t>20</w:t>
            </w: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 w:val="18"/>
                <w:szCs w:val="18"/>
                <w:lang w:val="en-US" w:eastAsia="zh-CN"/>
              </w:rPr>
            </w:pPr>
          </w:p>
        </w:tc>
      </w:tr>
    </w:tbl>
    <w:p>
      <w:pPr>
        <w:wordWrap w:val="0"/>
        <w:topLinePunct/>
        <w:spacing w:line="360" w:lineRule="auto"/>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清单说明：</w:t>
      </w:r>
    </w:p>
    <w:p>
      <w:pPr>
        <w:numPr>
          <w:ilvl w:val="0"/>
          <w:numId w:val="4"/>
        </w:numPr>
        <w:wordWrap w:val="0"/>
        <w:topLinePunct/>
        <w:spacing w:line="360" w:lineRule="auto"/>
        <w:ind w:firstLine="566" w:firstLineChars="236"/>
        <w:rPr>
          <w:rFonts w:hint="default" w:ascii="Times New Roman" w:hAnsi="Times New Roman" w:cs="Times New Roman"/>
        </w:rPr>
      </w:pPr>
      <w:r>
        <w:rPr>
          <w:rFonts w:hint="default" w:ascii="Times New Roman" w:hAnsi="Times New Roman" w:cs="Times New Roman"/>
          <w:bCs/>
          <w:snapToGrid w:val="0"/>
          <w:kern w:val="0"/>
          <w:sz w:val="24"/>
        </w:rPr>
        <w:t>包括运输、</w:t>
      </w:r>
      <w:r>
        <w:rPr>
          <w:rFonts w:hint="default" w:ascii="Times New Roman" w:hAnsi="Times New Roman" w:cs="Times New Roman"/>
          <w:bCs/>
          <w:snapToGrid w:val="0"/>
          <w:kern w:val="0"/>
          <w:sz w:val="24"/>
          <w:lang w:val="en-US" w:eastAsia="zh-CN"/>
        </w:rPr>
        <w:t>指导安装调试费、</w:t>
      </w:r>
      <w:r>
        <w:rPr>
          <w:rFonts w:hint="default" w:ascii="Times New Roman" w:hAnsi="Times New Roman" w:cs="Times New Roman"/>
          <w:bCs/>
          <w:snapToGrid w:val="0"/>
          <w:kern w:val="0"/>
          <w:sz w:val="24"/>
        </w:rPr>
        <w:t>保险费、税费、试运行及缺陷的维护等一切费用；</w:t>
      </w:r>
    </w:p>
    <w:p>
      <w:pPr>
        <w:pStyle w:val="8"/>
        <w:numPr>
          <w:ilvl w:val="0"/>
          <w:numId w:val="4"/>
        </w:numPr>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质保期：两年；</w:t>
      </w:r>
    </w:p>
    <w:p>
      <w:pPr>
        <w:pStyle w:val="8"/>
        <w:numPr>
          <w:ilvl w:val="0"/>
          <w:numId w:val="4"/>
        </w:numPr>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最高限价：</w:t>
      </w:r>
      <w:r>
        <w:rPr>
          <w:rFonts w:hint="eastAsia" w:cs="Times New Roman"/>
          <w:bCs/>
          <w:snapToGrid w:val="0"/>
          <w:kern w:val="0"/>
          <w:sz w:val="24"/>
          <w:lang w:val="en-US" w:eastAsia="zh-CN"/>
        </w:rPr>
        <w:t>442504</w:t>
      </w:r>
      <w:r>
        <w:rPr>
          <w:rFonts w:hint="default" w:ascii="Times New Roman" w:hAnsi="Times New Roman" w:cs="Times New Roman"/>
          <w:bCs/>
          <w:snapToGrid w:val="0"/>
          <w:color w:val="auto"/>
          <w:kern w:val="0"/>
          <w:sz w:val="24"/>
        </w:rPr>
        <w:t>.00</w:t>
      </w:r>
      <w:r>
        <w:rPr>
          <w:rFonts w:hint="default" w:ascii="Times New Roman" w:hAnsi="Times New Roman" w:cs="Times New Roman"/>
          <w:bCs/>
          <w:snapToGrid w:val="0"/>
          <w:kern w:val="0"/>
          <w:sz w:val="24"/>
        </w:rPr>
        <w:t>元。</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技术要求</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0" w:name="_Toc31725"/>
      <w:r>
        <w:rPr>
          <w:rFonts w:hint="default" w:ascii="Times New Roman" w:hAnsi="Times New Roman" w:eastAsia="宋体" w:cs="Times New Roman"/>
          <w:color w:val="auto"/>
          <w:sz w:val="21"/>
          <w:szCs w:val="21"/>
          <w:highlight w:val="none"/>
        </w:rPr>
        <w:t>802-3-6 票据打印机</w:t>
      </w:r>
      <w:bookmarkEnd w:id="0"/>
    </w:p>
    <w:p>
      <w:pPr>
        <w:numPr>
          <w:ilvl w:val="0"/>
          <w:numId w:val="5"/>
        </w:numPr>
        <w:spacing w:line="240" w:lineRule="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功能要求</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票据打印机采用两侧带有齿孔的连续纸，每张票据两端带有断裂线，以便收费员撕下。</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票据打印机的纸卷是由收费员更换的，票据打印机应有专门的非锁定装置以便收费员更换打印纸，同时保证收费员不会接触到打印机的其它部件或偶然碰到、接触到电源装置，但不会干扰打印机的正确、安全运行。</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票据打印机应包括提前进纸装置并生成“测试”收据以验证进纸、定位的正确性和打印机的正常工作。这些控制装置应安装在打印头附近且不需要从键盘上的其它键确认其性能。测试收据应与正常收据有明显区别以免混淆。</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票据上打印的信息应分为两部分：预印刷信息和打印信息。预印刷信息1建设单位名称、路段编码、收费站名称或站编码、系列号和税务专用章等，打印信息应包括但不限于：收费员身份码、路段编码、入口收费站代码或缩写、出口收费站代码或缩写、车型、车重、超重值、超重比例、收费额、日期、时间等，具体要求以满足DB 44/T 1793-2016《广东省高速公路联网收费系统》</w:t>
      </w:r>
    </w:p>
    <w:p>
      <w:pPr>
        <w:numPr>
          <w:ilvl w:val="0"/>
          <w:numId w:val="5"/>
        </w:numPr>
        <w:shd w:val="clear" w:color="auto" w:fill="FFFFFF"/>
        <w:spacing w:line="240" w:lineRule="auto"/>
        <w:ind w:left="372" w:leftChars="177"/>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主要技术指标</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9针击打式。</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最大纸宽：89mm。</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打印头寿命：≥2亿次击打。</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打印速度: 单向打印3.5行/秒。</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接口类型: RS-232C串口。</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可靠性：约900万行。</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送纸速度：≥7.6cm/s。</w:t>
      </w:r>
    </w:p>
    <w:p>
      <w:pPr>
        <w:numPr>
          <w:ilvl w:val="0"/>
          <w:numId w:val="6"/>
        </w:numPr>
        <w:shd w:val="clear" w:color="auto" w:fill="FFFFFF"/>
        <w:spacing w:line="240" w:lineRule="auto"/>
        <w:ind w:left="372" w:leftChars="177" w:firstLine="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包含与车道控制器（计算机）连接的串口控制电缆及供电电缆，内置或自带电源适配器；配套的驱动程序或支持即插即用。</w:t>
      </w:r>
    </w:p>
    <w:p>
      <w:pPr>
        <w:pStyle w:val="5"/>
        <w:numPr>
          <w:ilvl w:val="2"/>
          <w:numId w:val="0"/>
        </w:numPr>
        <w:spacing w:line="240" w:lineRule="auto"/>
        <w:ind w:left="142" w:leftChars="0"/>
        <w:rPr>
          <w:rFonts w:hint="default" w:ascii="Times New Roman" w:hAnsi="Times New Roman" w:eastAsia="宋体" w:cs="Times New Roman"/>
          <w:color w:val="auto"/>
          <w:sz w:val="21"/>
          <w:szCs w:val="21"/>
          <w:highlight w:val="none"/>
        </w:rPr>
      </w:pPr>
      <w:bookmarkStart w:id="1" w:name="_Toc9214"/>
      <w:r>
        <w:rPr>
          <w:rFonts w:hint="default" w:ascii="Times New Roman" w:hAnsi="Times New Roman" w:eastAsia="宋体" w:cs="Times New Roman"/>
          <w:color w:val="auto"/>
          <w:sz w:val="21"/>
          <w:szCs w:val="21"/>
          <w:highlight w:val="none"/>
        </w:rPr>
        <w:t>802-3-1</w:t>
      </w: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 xml:space="preserve"> 便携机</w:t>
      </w:r>
      <w:bookmarkEnd w:id="1"/>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CPU：Intel 酷睿双核2.0 G以上；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硬盘：160G；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内存：1GB；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网卡：10M/100M</w:t>
      </w:r>
      <w:r>
        <w:rPr>
          <w:rFonts w:hint="default" w:ascii="Times New Roman" w:hAnsi="Times New Roman" w:eastAsia="宋体" w:cs="Times New Roman"/>
          <w:bCs/>
          <w:color w:val="auto"/>
          <w:sz w:val="21"/>
          <w:szCs w:val="21"/>
          <w:highlight w:val="none"/>
          <w:lang w:val="en-US" w:eastAsia="zh-CN"/>
        </w:rPr>
        <w:t>/1000</w:t>
      </w:r>
      <w:r>
        <w:rPr>
          <w:rFonts w:hint="default" w:ascii="Times New Roman" w:hAnsi="Times New Roman" w:eastAsia="宋体" w:cs="Times New Roman"/>
          <w:bCs/>
          <w:color w:val="auto"/>
          <w:sz w:val="21"/>
          <w:szCs w:val="21"/>
          <w:highlight w:val="none"/>
        </w:rPr>
        <w:t xml:space="preserve">M自适应网卡；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显示器：15英寸以上的液晶显示器；</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语音报价：双声道立体声报价</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打印机：Star SP322，并口或串口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54键公路收费专用，支持外接PS2维护用PC键盘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CPC</w:t>
      </w:r>
      <w:r>
        <w:rPr>
          <w:rFonts w:hint="default" w:ascii="Times New Roman" w:hAnsi="Times New Roman" w:eastAsia="宋体" w:cs="Times New Roman"/>
          <w:bCs/>
          <w:color w:val="auto"/>
          <w:sz w:val="21"/>
          <w:szCs w:val="21"/>
          <w:highlight w:val="none"/>
        </w:rPr>
        <w:t xml:space="preserve">卡读写器，采用嵌入式；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电源：必须直接输入220V±5％,配备后备时间</w:t>
      </w:r>
      <w:r>
        <w:rPr>
          <w:rFonts w:hint="default" w:ascii="Times New Roman" w:hAnsi="Times New Roman" w:eastAsia="宋体" w:cs="Times New Roman"/>
          <w:bCs/>
          <w:color w:val="auto"/>
          <w:sz w:val="21"/>
          <w:szCs w:val="21"/>
          <w:highlight w:val="none"/>
          <w:lang w:val="en-US" w:eastAsia="zh-CN"/>
        </w:rPr>
        <w:t>3</w:t>
      </w:r>
      <w:r>
        <w:rPr>
          <w:rFonts w:hint="default" w:ascii="Times New Roman" w:hAnsi="Times New Roman" w:eastAsia="宋体" w:cs="Times New Roman"/>
          <w:bCs/>
          <w:color w:val="auto"/>
          <w:sz w:val="21"/>
          <w:szCs w:val="21"/>
          <w:highlight w:val="none"/>
        </w:rPr>
        <w:t xml:space="preserve">小时以上可在线更换的直流电源；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联网要求，带有有线和无线网卡，实现有线和无线联网。 </w:t>
      </w:r>
    </w:p>
    <w:p>
      <w:pPr>
        <w:spacing w:after="93" w:line="240" w:lineRule="auto"/>
        <w:ind w:firstLine="48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二、</w:t>
      </w:r>
      <w:r>
        <w:rPr>
          <w:rFonts w:hint="default" w:ascii="Times New Roman" w:hAnsi="Times New Roman" w:eastAsia="宋体" w:cs="Times New Roman"/>
          <w:color w:val="auto"/>
          <w:sz w:val="21"/>
          <w:szCs w:val="21"/>
          <w:highlight w:val="none"/>
        </w:rPr>
        <w:t xml:space="preserve">系统主要技术参数：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输入：一个RJ45网口，二个串口，一个键盘PS2插座，一个鼠标PS2插座，一个VGA接口，2个USB口，1个计重收费接口；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 xml:space="preserve">机箱：采用铝合金或其它材料，折叠方案，有散热风扇和散热孔； </w:t>
      </w:r>
    </w:p>
    <w:p>
      <w:pPr>
        <w:numPr>
          <w:ilvl w:val="0"/>
          <w:numId w:val="7"/>
        </w:numPr>
        <w:adjustRightInd w:val="0"/>
        <w:snapToGrid w:val="0"/>
        <w:spacing w:line="240" w:lineRule="auto"/>
        <w:ind w:left="567" w:firstLine="6"/>
        <w:outlineLvl w:val="5"/>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亮度：满足任何条件下的正常显示，保证收费员能正常读取显示屏信息。</w:t>
      </w:r>
    </w:p>
    <w:p>
      <w:pPr>
        <w:numPr>
          <w:ilvl w:val="0"/>
          <w:numId w:val="7"/>
        </w:numPr>
        <w:adjustRightInd w:val="0"/>
        <w:snapToGrid w:val="0"/>
        <w:spacing w:line="240" w:lineRule="auto"/>
        <w:ind w:left="567" w:firstLine="6"/>
        <w:outlineLvl w:val="5"/>
        <w:rPr>
          <w:rFonts w:hint="default" w:ascii="Times New Roman" w:hAnsi="Times New Roman" w:eastAsia="宋体" w:cs="Times New Roman"/>
          <w:sz w:val="21"/>
          <w:szCs w:val="21"/>
        </w:rPr>
      </w:pPr>
      <w:r>
        <w:rPr>
          <w:rFonts w:hint="default" w:ascii="Times New Roman" w:hAnsi="Times New Roman" w:eastAsia="宋体" w:cs="Times New Roman"/>
          <w:bCs/>
          <w:color w:val="auto"/>
          <w:sz w:val="21"/>
          <w:szCs w:val="21"/>
          <w:highlight w:val="none"/>
        </w:rPr>
        <w:t>工作环境</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温度-10～60℃，湿度0%～90%无冷凝</w:t>
      </w:r>
      <w:r>
        <w:rPr>
          <w:rFonts w:hint="default" w:ascii="Times New Roman" w:hAnsi="Times New Roman" w:eastAsia="宋体" w:cs="Times New Roman"/>
          <w:bCs/>
          <w:color w:val="auto"/>
          <w:sz w:val="21"/>
          <w:szCs w:val="21"/>
          <w:highlight w:val="none"/>
          <w:lang w:eastAsia="zh-CN"/>
        </w:rPr>
        <w:t>。</w:t>
      </w:r>
    </w:p>
    <w:p>
      <w:pPr>
        <w:keepLines/>
        <w:spacing w:before="260" w:after="260" w:line="240" w:lineRule="auto"/>
        <w:outlineLvl w:val="2"/>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802-</w:t>
      </w:r>
      <w:r>
        <w:rPr>
          <w:rFonts w:hint="default" w:ascii="Times New Roman" w:hAnsi="Times New Roman" w:eastAsia="宋体"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rPr>
        <w:t>-</w:t>
      </w:r>
      <w:r>
        <w:rPr>
          <w:rFonts w:hint="default" w:ascii="Times New Roman" w:hAnsi="Times New Roman" w:eastAsia="宋体"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lang w:val="en-US"/>
        </w:rPr>
        <w:t xml:space="preserve"> </w:t>
      </w:r>
      <w:r>
        <w:rPr>
          <w:rFonts w:hint="default" w:ascii="Times New Roman" w:hAnsi="Times New Roman" w:eastAsia="宋体" w:cs="Times New Roman"/>
          <w:b/>
          <w:bCs/>
          <w:color w:val="auto"/>
          <w:sz w:val="21"/>
          <w:szCs w:val="21"/>
          <w:highlight w:val="none"/>
        </w:rPr>
        <w:t>CPC卡读写器</w:t>
      </w:r>
    </w:p>
    <w:p>
      <w:pPr>
        <w:numPr>
          <w:ilvl w:val="0"/>
          <w:numId w:val="8"/>
        </w:numPr>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功能要求</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（1）复合卡（CPC）读写器用于读写复合通行卡的有源标签和（或）非接触式IC卡中的信息，发行（读写）复合通行卡，设置复合通行卡的工作状态。</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（2）复合卡（CPC）读写器主要由读写核心单元、读写天线和接口等组成。满足复合通行卡的读写功能要求，并且符合JR/T 0025.10-2005、ISO/IEC 7816和ISO/IEC14443 TYPE-A标准的相关规定。</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复合卡（CPC）读写器能对符合全国高速公路应用的复合通行卡、逻辑加密卡（非接触式IC卡）和双界面CPU卡进行读写及相关操作，具有SAM认证模块，SAM模块采用本标准之卡片应用要求规定的接触式CPU卡（PSAM卡），可以完成本标准之车道系统处理流程。</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（4）复合卡（CPC）读写器应具有极强的抗干扰能力。机箱应全封闭，防尘、防水、防震、免维护。车辆上或车道附近使用的无线电设备及各种电气装置不应对复合读写器工作造成干扰或错误读/写。</w:t>
      </w:r>
    </w:p>
    <w:p>
      <w:pPr>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（5）复合卡（CPC）读写器应配套提供密码校验等操作的标准库函数。</w:t>
      </w:r>
    </w:p>
    <w:p>
      <w:pPr>
        <w:numPr>
          <w:ilvl w:val="0"/>
          <w:numId w:val="8"/>
        </w:numPr>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主要技术指标</w:t>
      </w:r>
    </w:p>
    <w:p>
      <w:pPr>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（1）物理层技术要求</w:t>
      </w:r>
    </w:p>
    <w:p>
      <w:pPr>
        <w:shd w:val="clear" w:color="auto" w:fill="FFFFFF"/>
        <w:spacing w:line="24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用于读写复合通行卡的有源标签和（或）IC 卡中的信息，发行复合通行卡，设置复合通行卡的工作状态。复合卡读写器物理层技术要求应满足下表规定。</w:t>
      </w:r>
    </w:p>
    <w:tbl>
      <w:tblPr>
        <w:tblStyle w:val="15"/>
        <w:tblW w:w="90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842"/>
        <w:gridCol w:w="2977"/>
        <w:gridCol w:w="3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01" w:type="dxa"/>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4819" w:type="dxa"/>
            <w:gridSpan w:val="2"/>
          </w:tcPr>
          <w:p>
            <w:pPr>
              <w:spacing w:line="240" w:lineRule="auto"/>
              <w:ind w:left="48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w:t>
            </w:r>
          </w:p>
        </w:tc>
        <w:tc>
          <w:tcPr>
            <w:tcW w:w="3082" w:type="dxa"/>
          </w:tcPr>
          <w:p>
            <w:pPr>
              <w:spacing w:line="240" w:lineRule="auto"/>
              <w:ind w:left="48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restart"/>
            <w:vAlign w:val="center"/>
          </w:tcPr>
          <w:p>
            <w:pPr>
              <w:spacing w:line="240" w:lineRule="auto"/>
              <w:ind w:left="48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842" w:type="dxa"/>
            <w:vMerge w:val="restart"/>
            <w:vAlign w:val="center"/>
          </w:tcPr>
          <w:p>
            <w:pPr>
              <w:spacing w:line="240" w:lineRule="auto"/>
              <w:ind w:left="48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5.8GHz</w:t>
            </w:r>
          </w:p>
          <w:p>
            <w:pPr>
              <w:spacing w:line="240" w:lineRule="auto"/>
              <w:ind w:left="48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无线链路</w:t>
            </w: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载波频率</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信道占用带宽</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频率容限</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±200ppm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e.i.r.p</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 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杂散发射30MHz-1000MHz</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≤-36 dbm/100kHz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杂散发射2400MHz-2483.5MHz</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 dbm/1MHz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杂散发射3400MHz-3530MHz</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 dbm/1MHz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杂散发射5725MHz-5850MHz</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≤-33 dbm/100kHz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杂散发射其他1GHz-20GHz</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 dbm/1MHz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接收灵敏度</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≤-65 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调制方式</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ASK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调制系数</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0.7—0.9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编码方式</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FMO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位速率</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512 kbps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位时钟精度</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±1000×10</w:t>
            </w:r>
            <w:r>
              <w:rPr>
                <w:rFonts w:hint="default" w:ascii="Times New Roman" w:hAnsi="Times New Roman" w:eastAsia="宋体" w:cs="Times New Roman"/>
                <w:b/>
                <w:color w:val="auto"/>
                <w:sz w:val="21"/>
                <w:szCs w:val="21"/>
                <w:highlight w:val="none"/>
                <w:vertAlign w:val="superscript"/>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唤醒方式</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14k方波唤醒或整车通信帧信号唤醒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唤醒灵敏度</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 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接收带宽</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5.825GHz-5.845GHz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BER</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10×10</w:t>
            </w:r>
            <w:r>
              <w:rPr>
                <w:rFonts w:hint="default" w:ascii="Times New Roman" w:hAnsi="Times New Roman" w:eastAsia="宋体" w:cs="Times New Roman"/>
                <w:b/>
                <w:color w:val="auto"/>
                <w:sz w:val="21"/>
                <w:szCs w:val="21"/>
                <w:highlight w:val="none"/>
                <w:vertAlign w:val="superscript"/>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前导码</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16 位“1”加16 位“0”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1842" w:type="dxa"/>
            <w:vMerge w:val="continue"/>
          </w:tcPr>
          <w:p>
            <w:pPr>
              <w:keepNext/>
              <w:keepLines/>
              <w:spacing w:before="260" w:after="260" w:line="240" w:lineRule="auto"/>
              <w:ind w:left="480"/>
              <w:outlineLvl w:val="2"/>
              <w:rPr>
                <w:rFonts w:hint="default" w:ascii="Times New Roman" w:hAnsi="Times New Roman" w:eastAsia="宋体" w:cs="Times New Roman"/>
                <w:color w:val="auto"/>
                <w:sz w:val="21"/>
                <w:szCs w:val="21"/>
                <w:highlight w:val="none"/>
              </w:rPr>
            </w:pPr>
          </w:p>
        </w:tc>
        <w:tc>
          <w:tcPr>
            <w:tcW w:w="2977"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后导码</w:t>
            </w: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最多8位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240" w:lineRule="auto"/>
              <w:ind w:left="48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842" w:type="dxa"/>
            <w:vAlign w:val="center"/>
          </w:tcPr>
          <w:p>
            <w:pPr>
              <w:spacing w:line="240" w:lineRule="auto"/>
              <w:ind w:left="48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13.56MHz</w:t>
            </w:r>
          </w:p>
          <w:p>
            <w:pPr>
              <w:spacing w:line="240" w:lineRule="auto"/>
              <w:ind w:left="48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无线链路</w:t>
            </w:r>
          </w:p>
        </w:tc>
        <w:tc>
          <w:tcPr>
            <w:tcW w:w="2977" w:type="dxa"/>
            <w:vAlign w:val="center"/>
          </w:tcPr>
          <w:p>
            <w:pPr>
              <w:keepNext/>
              <w:keepLines/>
              <w:spacing w:before="260" w:after="260" w:line="240" w:lineRule="auto"/>
              <w:outlineLvl w:val="2"/>
              <w:rPr>
                <w:rFonts w:hint="default" w:ascii="Times New Roman" w:hAnsi="Times New Roman" w:eastAsia="宋体" w:cs="Times New Roman"/>
                <w:color w:val="auto"/>
                <w:sz w:val="21"/>
                <w:szCs w:val="21"/>
                <w:highlight w:val="none"/>
              </w:rPr>
            </w:pPr>
          </w:p>
        </w:tc>
        <w:tc>
          <w:tcPr>
            <w:tcW w:w="3082"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符合ISO/IEC 14443 Type A 标准</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相关规定</w:t>
            </w:r>
          </w:p>
        </w:tc>
      </w:tr>
    </w:tbl>
    <w:p>
      <w:pPr>
        <w:spacing w:line="240" w:lineRule="auto"/>
        <w:ind w:left="420"/>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（2）系统应用要求</w:t>
      </w:r>
    </w:p>
    <w:tbl>
      <w:tblPr>
        <w:tblStyle w:val="15"/>
        <w:tblW w:w="90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118"/>
        <w:gridCol w:w="47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3118" w:type="dxa"/>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功能及性能</w:t>
            </w:r>
          </w:p>
        </w:tc>
        <w:tc>
          <w:tcPr>
            <w:tcW w:w="4783" w:type="dxa"/>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3118"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数据存取和访问控制</w:t>
            </w:r>
          </w:p>
        </w:tc>
        <w:tc>
          <w:tcPr>
            <w:tcW w:w="4783" w:type="dxa"/>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应支持《广东省高速公路联网收费系统》（DB44/T1793-2016）密钥及其安全体系；支持TDES算法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3118"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具备ICC读写接口</w:t>
            </w:r>
          </w:p>
        </w:tc>
        <w:tc>
          <w:tcPr>
            <w:tcW w:w="4783" w:type="dxa"/>
          </w:tcPr>
          <w:p>
            <w:pPr>
              <w:autoSpaceDE w:val="0"/>
              <w:autoSpaceDN w:val="0"/>
              <w:adjustRightInd w:val="0"/>
              <w:spacing w:line="240" w:lineRule="auto"/>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符合ISO/IEC 7816 和ISO/IEC 14443 TYPE-A 标准的相关规定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3118"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ICC交易流程</w:t>
            </w:r>
          </w:p>
        </w:tc>
        <w:tc>
          <w:tcPr>
            <w:tcW w:w="4783" w:type="dxa"/>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符合JR/T 0025.10-2005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3118"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功能部件</w:t>
            </w:r>
          </w:p>
        </w:tc>
        <w:tc>
          <w:tcPr>
            <w:tcW w:w="4783" w:type="dxa"/>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ICC 读写接口、RS232 串口、红绿指示灯、蜂鸣器等标准配置部件。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3118"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可靠性</w:t>
            </w:r>
          </w:p>
        </w:tc>
        <w:tc>
          <w:tcPr>
            <w:tcW w:w="4783" w:type="dxa"/>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平均无故障时间应大于50,000h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3118"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PSAM卡槽数</w:t>
            </w:r>
          </w:p>
        </w:tc>
        <w:tc>
          <w:tcPr>
            <w:tcW w:w="4783" w:type="dxa"/>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至少4个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3118" w:type="dxa"/>
            <w:vAlign w:val="center"/>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环境条件</w:t>
            </w:r>
          </w:p>
        </w:tc>
        <w:tc>
          <w:tcPr>
            <w:tcW w:w="4783" w:type="dxa"/>
          </w:tcPr>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工作温度： -20℃～+70℃；</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相对工作湿度：5％～95％；</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静电：≥8kV；</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振动：应符合GB/T 2423；</w:t>
            </w:r>
          </w:p>
          <w:p>
            <w:pPr>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冲击：应符合GB/T 2423</w:t>
            </w:r>
          </w:p>
        </w:tc>
      </w:tr>
    </w:tbl>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供应商资格条件</w:t>
      </w:r>
    </w:p>
    <w:p>
      <w:pPr>
        <w:pStyle w:val="8"/>
        <w:ind w:firstLine="480"/>
        <w:rPr>
          <w:rFonts w:hint="default" w:ascii="Times New Roman" w:hAnsi="Times New Roman" w:cs="Times New Roman"/>
        </w:rPr>
      </w:pPr>
      <w:r>
        <w:rPr>
          <w:rFonts w:hint="default" w:ascii="Times New Roman" w:hAnsi="Times New Roman" w:cs="Times New Roman"/>
          <w:sz w:val="24"/>
        </w:rPr>
        <w:t>信用信誉良好，所供设备符合本工程量清单设备技术要求。</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响应回执的递交</w:t>
      </w:r>
    </w:p>
    <w:p>
      <w:pPr>
        <w:spacing w:line="360" w:lineRule="auto"/>
        <w:ind w:firstLine="480" w:firstLineChars="200"/>
        <w:rPr>
          <w:rFonts w:hint="default" w:ascii="Times New Roman" w:hAnsi="Times New Roman" w:cs="Times New Roman"/>
          <w:snapToGrid w:val="0"/>
          <w:color w:val="000000"/>
          <w:kern w:val="0"/>
          <w:sz w:val="24"/>
        </w:rPr>
      </w:pPr>
      <w:r>
        <w:rPr>
          <w:rFonts w:hint="default" w:ascii="Times New Roman" w:hAnsi="Times New Roman" w:cs="Times New Roman"/>
          <w:sz w:val="24"/>
        </w:rPr>
        <w:t>凡有意参加本次采购且具备履行本项目能力的供应商，请</w:t>
      </w:r>
      <w:r>
        <w:rPr>
          <w:rFonts w:hint="default" w:ascii="Times New Roman" w:hAnsi="Times New Roman" w:cs="Times New Roman"/>
          <w:color w:val="000000"/>
          <w:sz w:val="24"/>
        </w:rPr>
        <w:t>将附于本公告后的响应回执在</w:t>
      </w:r>
      <w:r>
        <w:rPr>
          <w:rFonts w:hint="default" w:ascii="Times New Roman" w:hAnsi="Times New Roman" w:cs="Times New Roman"/>
          <w:color w:val="000000"/>
          <w:sz w:val="24"/>
          <w:u w:val="single"/>
        </w:rPr>
        <w:t>2023年</w:t>
      </w:r>
      <w:r>
        <w:rPr>
          <w:rFonts w:hint="default" w:ascii="Times New Roman" w:hAnsi="Times New Roman" w:cs="Times New Roman"/>
          <w:color w:val="000000"/>
          <w:sz w:val="24"/>
          <w:u w:val="single"/>
          <w:lang w:val="en-US" w:eastAsia="zh-CN"/>
        </w:rPr>
        <w:t>04</w:t>
      </w:r>
      <w:r>
        <w:rPr>
          <w:rFonts w:hint="default" w:ascii="Times New Roman" w:hAnsi="Times New Roman" w:cs="Times New Roman"/>
          <w:color w:val="000000"/>
          <w:sz w:val="24"/>
          <w:u w:val="single"/>
        </w:rPr>
        <w:t>月</w:t>
      </w:r>
      <w:r>
        <w:rPr>
          <w:rFonts w:hint="default" w:ascii="Times New Roman" w:hAnsi="Times New Roman" w:cs="Times New Roman"/>
          <w:color w:val="000000"/>
          <w:sz w:val="24"/>
          <w:u w:val="single"/>
          <w:lang w:val="en-US" w:eastAsia="zh-CN"/>
        </w:rPr>
        <w:t>2</w:t>
      </w:r>
      <w:r>
        <w:rPr>
          <w:rFonts w:hint="eastAsia" w:cs="Times New Roman"/>
          <w:color w:val="000000"/>
          <w:sz w:val="24"/>
          <w:u w:val="single"/>
          <w:lang w:val="en-US" w:eastAsia="zh-CN"/>
        </w:rPr>
        <w:t>6</w:t>
      </w:r>
      <w:r>
        <w:rPr>
          <w:rFonts w:hint="default" w:ascii="Times New Roman" w:hAnsi="Times New Roman" w:cs="Times New Roman"/>
          <w:color w:val="000000"/>
          <w:sz w:val="24"/>
          <w:u w:val="single"/>
          <w:lang w:val="en-US" w:eastAsia="zh-CN"/>
        </w:rPr>
        <w:t xml:space="preserve"> </w:t>
      </w:r>
      <w:r>
        <w:rPr>
          <w:rFonts w:hint="default" w:ascii="Times New Roman" w:hAnsi="Times New Roman" w:cs="Times New Roman"/>
          <w:color w:val="000000"/>
          <w:sz w:val="24"/>
          <w:u w:val="single"/>
        </w:rPr>
        <w:t>日</w:t>
      </w:r>
      <w:r>
        <w:rPr>
          <w:rFonts w:hint="eastAsia" w:cs="Times New Roman"/>
          <w:color w:val="000000"/>
          <w:sz w:val="24"/>
          <w:u w:val="single"/>
          <w:lang w:val="en-US" w:eastAsia="zh-CN"/>
        </w:rPr>
        <w:t>16</w:t>
      </w:r>
      <w:r>
        <w:rPr>
          <w:rFonts w:hint="default" w:ascii="Times New Roman" w:hAnsi="Times New Roman" w:cs="Times New Roman"/>
          <w:color w:val="000000"/>
          <w:sz w:val="24"/>
          <w:u w:val="single"/>
        </w:rPr>
        <w:t>：00</w:t>
      </w:r>
      <w:r>
        <w:rPr>
          <w:rFonts w:hint="default" w:ascii="Times New Roman" w:hAnsi="Times New Roman" w:cs="Times New Roman"/>
          <w:color w:val="000000"/>
          <w:sz w:val="24"/>
        </w:rPr>
        <w:t>之前发送至采购人邮箱：</w:t>
      </w:r>
      <w:r>
        <w:rPr>
          <w:rFonts w:hint="eastAsia" w:cs="Times New Roman"/>
          <w:color w:val="000000"/>
          <w:sz w:val="24"/>
          <w:lang w:val="en-US" w:eastAsia="zh-CN"/>
        </w:rPr>
        <w:t>1376039885</w:t>
      </w:r>
      <w:r>
        <w:rPr>
          <w:rFonts w:hint="default" w:ascii="Times New Roman" w:hAnsi="Times New Roman" w:cs="Times New Roman"/>
          <w:color w:val="000000"/>
          <w:sz w:val="24"/>
          <w:lang w:val="en-US" w:eastAsia="zh-CN"/>
        </w:rPr>
        <w:t>@qq</w:t>
      </w:r>
      <w:r>
        <w:rPr>
          <w:rFonts w:hint="default" w:ascii="Times New Roman" w:hAnsi="Times New Roman" w:cs="Times New Roman"/>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cs="Times New Roman"/>
          <w:b/>
          <w:snapToGrid w:val="0"/>
          <w:kern w:val="0"/>
          <w:sz w:val="24"/>
        </w:rPr>
      </w:pPr>
      <w:bookmarkStart w:id="2" w:name="_Toc332965960"/>
      <w:bookmarkStart w:id="3" w:name="_Toc332793818"/>
      <w:bookmarkStart w:id="4" w:name="_Toc332793891"/>
      <w:r>
        <w:rPr>
          <w:rFonts w:hint="default" w:ascii="Times New Roman" w:hAnsi="Times New Roman" w:cs="Times New Roman"/>
          <w:b/>
          <w:snapToGrid w:val="0"/>
          <w:kern w:val="0"/>
          <w:sz w:val="24"/>
        </w:rPr>
        <w:t>联系方式</w:t>
      </w:r>
      <w:bookmarkEnd w:id="2"/>
      <w:bookmarkEnd w:id="3"/>
      <w:bookmarkEnd w:id="4"/>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采购  人：广东诚泰交通科技发展有限公司</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采购人地址：广州市番禺区洛浦街道北环路87号道路研究院二号楼</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联  系  人：</w:t>
      </w:r>
      <w:r>
        <w:rPr>
          <w:rFonts w:hint="eastAsia" w:cs="Times New Roman"/>
          <w:color w:val="000000"/>
          <w:sz w:val="24"/>
          <w:lang w:val="en-US" w:eastAsia="zh-CN"/>
        </w:rPr>
        <w:t>李</w:t>
      </w:r>
      <w:r>
        <w:rPr>
          <w:rFonts w:hint="default" w:ascii="Times New Roman" w:hAnsi="Times New Roman" w:cs="Times New Roman"/>
          <w:color w:val="000000"/>
          <w:sz w:val="24"/>
        </w:rPr>
        <w:t>工</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电      话：020-39185740</w:t>
      </w:r>
      <w:bookmarkStart w:id="5" w:name="_GoBack"/>
      <w:bookmarkEnd w:id="5"/>
    </w:p>
    <w:p>
      <w:pPr>
        <w:topLinePunct/>
        <w:spacing w:line="360" w:lineRule="auto"/>
        <w:jc w:val="right"/>
        <w:rPr>
          <w:rFonts w:hint="default" w:ascii="Times New Roman" w:hAnsi="Times New Roman" w:cs="Times New Roman"/>
          <w:color w:val="000000"/>
          <w:sz w:val="24"/>
        </w:rPr>
      </w:pPr>
      <w:r>
        <w:rPr>
          <w:rFonts w:hint="default" w:ascii="Times New Roman" w:hAnsi="Times New Roman" w:cs="Times New Roman"/>
          <w:color w:val="000000"/>
          <w:sz w:val="24"/>
        </w:rPr>
        <w:t>广东诚泰交通科技发展有限公司</w:t>
      </w:r>
    </w:p>
    <w:p>
      <w:pPr>
        <w:topLinePunct/>
        <w:spacing w:line="360" w:lineRule="auto"/>
        <w:jc w:val="center"/>
        <w:rPr>
          <w:rFonts w:hint="default" w:ascii="Times New Roman" w:hAnsi="Times New Roman" w:cs="Times New Roman"/>
          <w:color w:val="000000"/>
          <w:sz w:val="24"/>
        </w:rPr>
      </w:pPr>
      <w:r>
        <w:rPr>
          <w:rFonts w:hint="default" w:ascii="Times New Roman" w:hAnsi="Times New Roman" w:cs="Times New Roman"/>
          <w:color w:val="000000"/>
          <w:sz w:val="24"/>
        </w:rPr>
        <w:t xml:space="preserve">                                              2023年</w:t>
      </w:r>
      <w:r>
        <w:rPr>
          <w:rFonts w:hint="default" w:ascii="Times New Roman" w:hAnsi="Times New Roman" w:cs="Times New Roman"/>
          <w:color w:val="000000"/>
          <w:sz w:val="24"/>
          <w:lang w:val="en-US" w:eastAsia="zh-CN"/>
        </w:rPr>
        <w:t>04</w:t>
      </w:r>
      <w:r>
        <w:rPr>
          <w:rFonts w:hint="default" w:ascii="Times New Roman" w:hAnsi="Times New Roman" w:cs="Times New Roman"/>
          <w:color w:val="000000"/>
          <w:sz w:val="24"/>
        </w:rPr>
        <w:t>月</w:t>
      </w:r>
      <w:r>
        <w:rPr>
          <w:rFonts w:hint="default" w:ascii="Times New Roman" w:hAnsi="Times New Roman" w:cs="Times New Roman"/>
          <w:color w:val="000000"/>
          <w:sz w:val="24"/>
          <w:lang w:val="en-US" w:eastAsia="zh-CN"/>
        </w:rPr>
        <w:t xml:space="preserve"> </w:t>
      </w:r>
      <w:r>
        <w:rPr>
          <w:rFonts w:hint="eastAsia" w:cs="Times New Roman"/>
          <w:color w:val="000000"/>
          <w:sz w:val="24"/>
          <w:lang w:val="en-US" w:eastAsia="zh-CN"/>
        </w:rPr>
        <w:t>25</w:t>
      </w:r>
      <w:r>
        <w:rPr>
          <w:rFonts w:hint="default" w:ascii="Times New Roman" w:hAnsi="Times New Roman" w:cs="Times New Roman"/>
          <w:color w:val="000000"/>
          <w:sz w:val="24"/>
        </w:rPr>
        <w:t>日</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013C05B0"/>
    <w:multiLevelType w:val="multilevel"/>
    <w:tmpl w:val="013C05B0"/>
    <w:lvl w:ilvl="0" w:tentative="0">
      <w:start w:val="1"/>
      <w:numFmt w:val="bullet"/>
      <w:lvlText w:val="-"/>
      <w:lvlJc w:val="left"/>
      <w:pPr>
        <w:ind w:left="420" w:hanging="420"/>
      </w:pPr>
      <w:rPr>
        <w:rFonts w:hint="eastAsia" w:ascii="宋体" w:hAnsi="宋体" w:eastAsia="宋体"/>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9"/>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7"/>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1"/>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7"/>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8"/>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4">
    <w:nsid w:val="22A83970"/>
    <w:multiLevelType w:val="multilevel"/>
    <w:tmpl w:val="22A83970"/>
    <w:lvl w:ilvl="0" w:tentative="0">
      <w:start w:val="1"/>
      <w:numFmt w:val="chineseCountingThousand"/>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5">
    <w:nsid w:val="4C61694A"/>
    <w:multiLevelType w:val="multilevel"/>
    <w:tmpl w:val="4C61694A"/>
    <w:lvl w:ilvl="0" w:tentative="0">
      <w:start w:val="1"/>
      <w:numFmt w:val="bullet"/>
      <w:lvlText w:val="-"/>
      <w:lvlJc w:val="left"/>
      <w:pPr>
        <w:ind w:left="839" w:firstLine="1"/>
      </w:pPr>
      <w:rPr>
        <w:rFonts w:hint="eastAsia" w:ascii="宋体" w:hAnsi="宋体" w:eastAsia="宋体"/>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6">
    <w:nsid w:val="6E230785"/>
    <w:multiLevelType w:val="multilevel"/>
    <w:tmpl w:val="6E230785"/>
    <w:lvl w:ilvl="0" w:tentative="0">
      <w:start w:val="1"/>
      <w:numFmt w:val="bullet"/>
      <w:pStyle w:val="36"/>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3"/>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4"/>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5"/>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40"/>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2"/>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8"/>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9"/>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7E2105C4"/>
    <w:multiLevelType w:val="multilevel"/>
    <w:tmpl w:val="7E2105C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6"/>
  </w:num>
  <w:num w:numId="3">
    <w:abstractNumId w:val="0"/>
  </w:num>
  <w:num w:numId="4">
    <w:abstractNumId w:val="1"/>
  </w:num>
  <w:num w:numId="5">
    <w:abstractNumId w:val="7"/>
  </w:num>
  <w:num w:numId="6">
    <w:abstractNumId w:val="5"/>
  </w:num>
  <w:num w:numId="7">
    <w:abstractNumId w:val="2"/>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ZkOTkzOGFkNGEzMDNjMmUwMmNjNzM0N2MyZjUwMDQifQ=="/>
  </w:docVars>
  <w:rsids>
    <w:rsidRoot w:val="00172A27"/>
    <w:rsid w:val="00123FE3"/>
    <w:rsid w:val="001301C5"/>
    <w:rsid w:val="00172A27"/>
    <w:rsid w:val="00477707"/>
    <w:rsid w:val="005603E4"/>
    <w:rsid w:val="00791D96"/>
    <w:rsid w:val="009006FE"/>
    <w:rsid w:val="009A3C9A"/>
    <w:rsid w:val="00CC1A2E"/>
    <w:rsid w:val="00ED32E4"/>
    <w:rsid w:val="00EE2011"/>
    <w:rsid w:val="00FA736A"/>
    <w:rsid w:val="00FC4153"/>
    <w:rsid w:val="00FD7ED5"/>
    <w:rsid w:val="02040FDF"/>
    <w:rsid w:val="029457B7"/>
    <w:rsid w:val="03393105"/>
    <w:rsid w:val="046E3765"/>
    <w:rsid w:val="061439B5"/>
    <w:rsid w:val="06622CB2"/>
    <w:rsid w:val="072D08E0"/>
    <w:rsid w:val="08EE3671"/>
    <w:rsid w:val="0A69025B"/>
    <w:rsid w:val="0AA572D2"/>
    <w:rsid w:val="0DA26991"/>
    <w:rsid w:val="0ECB4993"/>
    <w:rsid w:val="112A7044"/>
    <w:rsid w:val="12ED5CBA"/>
    <w:rsid w:val="14C447F8"/>
    <w:rsid w:val="185E4488"/>
    <w:rsid w:val="18606150"/>
    <w:rsid w:val="19B32EC3"/>
    <w:rsid w:val="1A786886"/>
    <w:rsid w:val="1D5379E4"/>
    <w:rsid w:val="1DC008E5"/>
    <w:rsid w:val="1F3E25C9"/>
    <w:rsid w:val="1F8905C9"/>
    <w:rsid w:val="20205D7D"/>
    <w:rsid w:val="2039362C"/>
    <w:rsid w:val="20607ACB"/>
    <w:rsid w:val="227214CF"/>
    <w:rsid w:val="228C5E52"/>
    <w:rsid w:val="24875F4B"/>
    <w:rsid w:val="28126A09"/>
    <w:rsid w:val="292922C2"/>
    <w:rsid w:val="2A6117E0"/>
    <w:rsid w:val="2A9C2048"/>
    <w:rsid w:val="2B975488"/>
    <w:rsid w:val="2BB05A29"/>
    <w:rsid w:val="2BBE1469"/>
    <w:rsid w:val="2C101B15"/>
    <w:rsid w:val="2D393A69"/>
    <w:rsid w:val="2E0860D1"/>
    <w:rsid w:val="2E5A20BA"/>
    <w:rsid w:val="2ECB5FE2"/>
    <w:rsid w:val="326B3633"/>
    <w:rsid w:val="34403FA4"/>
    <w:rsid w:val="34DB5F68"/>
    <w:rsid w:val="35912415"/>
    <w:rsid w:val="38A511DA"/>
    <w:rsid w:val="3A7D6982"/>
    <w:rsid w:val="3BDA652C"/>
    <w:rsid w:val="3C047712"/>
    <w:rsid w:val="3DD1395F"/>
    <w:rsid w:val="3E8C010F"/>
    <w:rsid w:val="3EFD65C9"/>
    <w:rsid w:val="3FA27361"/>
    <w:rsid w:val="400E2C48"/>
    <w:rsid w:val="403A795B"/>
    <w:rsid w:val="4044389B"/>
    <w:rsid w:val="40C03B09"/>
    <w:rsid w:val="42100EF9"/>
    <w:rsid w:val="434B112E"/>
    <w:rsid w:val="435E6014"/>
    <w:rsid w:val="44A30E69"/>
    <w:rsid w:val="46C97C03"/>
    <w:rsid w:val="472B5FAC"/>
    <w:rsid w:val="48AD79E8"/>
    <w:rsid w:val="4908486B"/>
    <w:rsid w:val="49DC5C4D"/>
    <w:rsid w:val="4A44006F"/>
    <w:rsid w:val="4BFB311F"/>
    <w:rsid w:val="4D4844E5"/>
    <w:rsid w:val="4DA31AFF"/>
    <w:rsid w:val="4DB34E2F"/>
    <w:rsid w:val="50DE6FEF"/>
    <w:rsid w:val="515756D7"/>
    <w:rsid w:val="523D3544"/>
    <w:rsid w:val="52871060"/>
    <w:rsid w:val="52BF1F4D"/>
    <w:rsid w:val="52ED4007"/>
    <w:rsid w:val="54210D44"/>
    <w:rsid w:val="55306D65"/>
    <w:rsid w:val="560F1B9D"/>
    <w:rsid w:val="57BF2D4E"/>
    <w:rsid w:val="58B04768"/>
    <w:rsid w:val="58B74CBC"/>
    <w:rsid w:val="5B2814D9"/>
    <w:rsid w:val="5E8E770E"/>
    <w:rsid w:val="5F087C2D"/>
    <w:rsid w:val="606D5311"/>
    <w:rsid w:val="61147E15"/>
    <w:rsid w:val="623B7383"/>
    <w:rsid w:val="63166D1A"/>
    <w:rsid w:val="65922BE0"/>
    <w:rsid w:val="6AC87D14"/>
    <w:rsid w:val="6C083654"/>
    <w:rsid w:val="6C094604"/>
    <w:rsid w:val="6C751B3B"/>
    <w:rsid w:val="6E354925"/>
    <w:rsid w:val="6E4A295F"/>
    <w:rsid w:val="710B2708"/>
    <w:rsid w:val="724471CD"/>
    <w:rsid w:val="74963E13"/>
    <w:rsid w:val="760D37CC"/>
    <w:rsid w:val="79E2018B"/>
    <w:rsid w:val="7AB074F6"/>
    <w:rsid w:val="7C7F737F"/>
    <w:rsid w:val="7DD345AE"/>
    <w:rsid w:val="7F263D72"/>
    <w:rsid w:val="7FCB0E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9"/>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20"/>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7"/>
    <w:next w:val="8"/>
    <w:link w:val="21"/>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9">
    <w:name w:val="heading 5"/>
    <w:basedOn w:val="1"/>
    <w:next w:val="1"/>
    <w:link w:val="22"/>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7">
    <w:name w:val="Body Text Indent 2"/>
    <w:basedOn w:val="1"/>
    <w:qFormat/>
    <w:uiPriority w:val="0"/>
    <w:pPr>
      <w:adjustRightInd w:val="0"/>
      <w:spacing w:line="360" w:lineRule="auto"/>
      <w:ind w:firstLine="513"/>
      <w:textAlignment w:val="baseline"/>
    </w:pPr>
    <w:rPr>
      <w:rFonts w:ascii="楷体_GB2312" w:eastAsia="楷体_GB2312"/>
      <w:sz w:val="24"/>
      <w:szCs w:val="20"/>
    </w:rPr>
  </w:style>
  <w:style w:type="paragraph" w:styleId="8">
    <w:name w:val="Normal Indent"/>
    <w:basedOn w:val="1"/>
    <w:qFormat/>
    <w:uiPriority w:val="99"/>
    <w:pPr>
      <w:ind w:firstLine="420" w:firstLineChars="200"/>
    </w:pPr>
  </w:style>
  <w:style w:type="paragraph" w:styleId="10">
    <w:name w:val="Body Text"/>
    <w:basedOn w:val="1"/>
    <w:next w:val="1"/>
    <w:qFormat/>
    <w:uiPriority w:val="0"/>
    <w:pPr>
      <w:spacing w:after="120"/>
    </w:pPr>
    <w:rPr>
      <w:rFonts w:ascii="Calibri" w:hAnsi="宋体"/>
    </w:rPr>
  </w:style>
  <w:style w:type="paragraph" w:styleId="11">
    <w:name w:val="Plain Text"/>
    <w:basedOn w:val="1"/>
    <w:next w:val="1"/>
    <w:qFormat/>
    <w:uiPriority w:val="0"/>
    <w:rPr>
      <w:rFonts w:ascii="宋体" w:hAnsi="Courier New"/>
      <w:szCs w:val="20"/>
    </w:rPr>
  </w:style>
  <w:style w:type="paragraph" w:styleId="12">
    <w:name w:val="Balloon Text"/>
    <w:basedOn w:val="1"/>
    <w:link w:val="41"/>
    <w:qFormat/>
    <w:uiPriority w:val="0"/>
    <w:rPr>
      <w:sz w:val="18"/>
      <w:szCs w:val="18"/>
    </w:rPr>
  </w:style>
  <w:style w:type="paragraph" w:styleId="13">
    <w:name w:val="footer"/>
    <w:basedOn w:val="1"/>
    <w:link w:val="18"/>
    <w:qFormat/>
    <w:uiPriority w:val="0"/>
    <w:pPr>
      <w:tabs>
        <w:tab w:val="center" w:pos="4153"/>
        <w:tab w:val="right" w:pos="8306"/>
      </w:tabs>
      <w:snapToGrid w:val="0"/>
      <w:jc w:val="left"/>
    </w:pPr>
    <w:rPr>
      <w:sz w:val="18"/>
      <w:szCs w:val="18"/>
    </w:rPr>
  </w:style>
  <w:style w:type="paragraph" w:styleId="14">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character" w:customStyle="1" w:styleId="17">
    <w:name w:val="页眉 Char"/>
    <w:basedOn w:val="16"/>
    <w:link w:val="14"/>
    <w:qFormat/>
    <w:uiPriority w:val="0"/>
    <w:rPr>
      <w:kern w:val="2"/>
      <w:sz w:val="18"/>
      <w:szCs w:val="18"/>
    </w:rPr>
  </w:style>
  <w:style w:type="character" w:customStyle="1" w:styleId="18">
    <w:name w:val="页脚 Char"/>
    <w:basedOn w:val="16"/>
    <w:link w:val="13"/>
    <w:qFormat/>
    <w:uiPriority w:val="0"/>
    <w:rPr>
      <w:kern w:val="2"/>
      <w:sz w:val="18"/>
      <w:szCs w:val="18"/>
    </w:rPr>
  </w:style>
  <w:style w:type="character" w:customStyle="1" w:styleId="19">
    <w:name w:val="标题 2 Char"/>
    <w:basedOn w:val="16"/>
    <w:link w:val="4"/>
    <w:qFormat/>
    <w:uiPriority w:val="0"/>
    <w:rPr>
      <w:rFonts w:ascii="Book Antiqua" w:hAnsi="Book Antiqua" w:eastAsia="黑体" w:cs="Book Antiqua"/>
      <w:bCs/>
      <w:sz w:val="36"/>
      <w:szCs w:val="36"/>
      <w:lang w:eastAsia="en-US"/>
    </w:rPr>
  </w:style>
  <w:style w:type="character" w:customStyle="1" w:styleId="20">
    <w:name w:val="标题 3 Char"/>
    <w:basedOn w:val="16"/>
    <w:link w:val="5"/>
    <w:qFormat/>
    <w:uiPriority w:val="0"/>
    <w:rPr>
      <w:rFonts w:ascii="Book Antiqua" w:hAnsi="Book Antiqua" w:eastAsia="黑体" w:cs="宋体"/>
      <w:sz w:val="32"/>
      <w:szCs w:val="32"/>
    </w:rPr>
  </w:style>
  <w:style w:type="character" w:customStyle="1" w:styleId="21">
    <w:name w:val="标题 4 Char"/>
    <w:basedOn w:val="16"/>
    <w:link w:val="6"/>
    <w:qFormat/>
    <w:uiPriority w:val="0"/>
    <w:rPr>
      <w:rFonts w:ascii="Book Antiqua" w:hAnsi="Book Antiqua" w:eastAsia="黑体" w:cs="宋体"/>
      <w:sz w:val="28"/>
      <w:szCs w:val="28"/>
    </w:rPr>
  </w:style>
  <w:style w:type="character" w:customStyle="1" w:styleId="22">
    <w:name w:val="标题 5 Char"/>
    <w:basedOn w:val="16"/>
    <w:link w:val="9"/>
    <w:qFormat/>
    <w:uiPriority w:val="0"/>
    <w:rPr>
      <w:rFonts w:ascii="Book Antiqua" w:hAnsi="Book Antiqua" w:eastAsia="黑体" w:cs="宋体"/>
      <w:sz w:val="24"/>
      <w:szCs w:val="24"/>
    </w:rPr>
  </w:style>
  <w:style w:type="paragraph" w:styleId="23">
    <w:name w:val="List Paragraph"/>
    <w:basedOn w:val="1"/>
    <w:link w:val="24"/>
    <w:qFormat/>
    <w:uiPriority w:val="34"/>
    <w:pPr>
      <w:ind w:firstLine="420" w:firstLineChars="200"/>
    </w:pPr>
    <w:rPr>
      <w:rFonts w:asciiTheme="minorHAnsi" w:hAnsiTheme="minorHAnsi" w:eastAsiaTheme="minorEastAsia" w:cstheme="minorBidi"/>
      <w:szCs w:val="22"/>
    </w:rPr>
  </w:style>
  <w:style w:type="character" w:customStyle="1" w:styleId="24">
    <w:name w:val="列出段落 Char"/>
    <w:link w:val="23"/>
    <w:qFormat/>
    <w:uiPriority w:val="34"/>
    <w:rPr>
      <w:rFonts w:asciiTheme="minorHAnsi" w:hAnsiTheme="minorHAnsi" w:eastAsiaTheme="minorEastAsia" w:cstheme="minorBidi"/>
      <w:kern w:val="2"/>
      <w:sz w:val="21"/>
      <w:szCs w:val="22"/>
    </w:rPr>
  </w:style>
  <w:style w:type="character" w:customStyle="1" w:styleId="25">
    <w:name w:val="Item Step in table Char Char"/>
    <w:link w:val="26"/>
    <w:qFormat/>
    <w:uiPriority w:val="0"/>
    <w:rPr>
      <w:rFonts w:cs="Arial"/>
      <w:bCs/>
      <w:szCs w:val="28"/>
    </w:rPr>
  </w:style>
  <w:style w:type="paragraph" w:customStyle="1" w:styleId="26">
    <w:name w:val="Item Step in table"/>
    <w:basedOn w:val="9"/>
    <w:link w:val="25"/>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7">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8">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9">
    <w:name w:val="Table Text Char"/>
    <w:link w:val="30"/>
    <w:qFormat/>
    <w:uiPriority w:val="0"/>
    <w:rPr>
      <w:rFonts w:cs="Arial"/>
      <w:szCs w:val="21"/>
    </w:rPr>
  </w:style>
  <w:style w:type="paragraph" w:customStyle="1" w:styleId="30">
    <w:name w:val="Table Text"/>
    <w:basedOn w:val="1"/>
    <w:link w:val="29"/>
    <w:qFormat/>
    <w:uiPriority w:val="0"/>
    <w:pPr>
      <w:topLinePunct/>
      <w:adjustRightInd w:val="0"/>
      <w:snapToGrid w:val="0"/>
      <w:spacing w:before="80" w:after="80" w:line="240" w:lineRule="atLeast"/>
      <w:jc w:val="left"/>
    </w:pPr>
    <w:rPr>
      <w:rFonts w:cs="Arial"/>
      <w:kern w:val="0"/>
      <w:sz w:val="20"/>
      <w:szCs w:val="21"/>
    </w:rPr>
  </w:style>
  <w:style w:type="paragraph" w:customStyle="1" w:styleId="31">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2">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3">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5">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6">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7">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8">
    <w:name w:val="Notes Text Step"/>
    <w:basedOn w:val="32"/>
    <w:qFormat/>
    <w:uiPriority w:val="0"/>
    <w:pPr>
      <w:numPr>
        <w:ilvl w:val="6"/>
      </w:numPr>
      <w:pBdr>
        <w:bottom w:val="none" w:color="auto" w:sz="0" w:space="0"/>
      </w:pBdr>
      <w:spacing w:before="40" w:line="200" w:lineRule="atLeast"/>
    </w:pPr>
    <w:rPr>
      <w:sz w:val="18"/>
      <w:szCs w:val="18"/>
    </w:rPr>
  </w:style>
  <w:style w:type="paragraph" w:customStyle="1" w:styleId="39">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40">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1">
    <w:name w:val="批注框文本 Char"/>
    <w:basedOn w:val="16"/>
    <w:link w:val="12"/>
    <w:qFormat/>
    <w:uiPriority w:val="0"/>
    <w:rPr>
      <w:kern w:val="2"/>
      <w:sz w:val="18"/>
      <w:szCs w:val="18"/>
    </w:rPr>
  </w:style>
  <w:style w:type="character" w:customStyle="1" w:styleId="42">
    <w:name w:val="font41"/>
    <w:basedOn w:val="16"/>
    <w:qFormat/>
    <w:uiPriority w:val="0"/>
    <w:rPr>
      <w:rFonts w:hint="default" w:ascii="Times New Roman" w:hAnsi="Times New Roman" w:cs="Times New Roman"/>
      <w:color w:val="000000"/>
      <w:sz w:val="18"/>
      <w:szCs w:val="18"/>
      <w:u w:val="none"/>
    </w:rPr>
  </w:style>
  <w:style w:type="character" w:customStyle="1" w:styleId="43">
    <w:name w:val="font31"/>
    <w:basedOn w:val="16"/>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2096</Words>
  <Characters>2691</Characters>
  <Lines>61</Lines>
  <Paragraphs>17</Paragraphs>
  <TotalTime>1</TotalTime>
  <ScaleCrop>false</ScaleCrop>
  <LinksUpToDate>false</LinksUpToDate>
  <CharactersWithSpaces>2803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倾她国@做她王</cp:lastModifiedBy>
  <cp:lastPrinted>2022-10-20T06:50:00Z</cp:lastPrinted>
  <dcterms:modified xsi:type="dcterms:W3CDTF">2023-04-25T06:21:06Z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