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1"/>
        <w:rPr>
          <w:rFonts w:hint="eastAsia" w:ascii="Times New Roman" w:hAnsi="Times New Roman" w:eastAsia="仿宋_GB2312" w:cs="Times New Roman"/>
          <w:b/>
          <w:color w:val="000000"/>
          <w:sz w:val="32"/>
          <w:szCs w:val="32"/>
        </w:rPr>
      </w:pPr>
      <w:r>
        <w:rPr>
          <w:rFonts w:hint="eastAsia" w:ascii="Times New Roman" w:hAnsi="Times New Roman" w:eastAsia="仿宋_GB2312" w:cs="Times New Roman"/>
          <w:b/>
          <w:color w:val="000000"/>
          <w:sz w:val="32"/>
          <w:szCs w:val="32"/>
        </w:rPr>
        <w:t>汕昆高速公路揭阳新亨至梅州畲江段及梅汕高速公路梅州程江至畲江段改扩建工程TX3标</w:t>
      </w:r>
    </w:p>
    <w:p>
      <w:pPr>
        <w:spacing w:line="360" w:lineRule="auto"/>
        <w:jc w:val="center"/>
        <w:outlineLvl w:val="1"/>
        <w:rPr>
          <w:rFonts w:eastAsia="仿宋_GB2312"/>
          <w:b/>
          <w:color w:val="000000"/>
          <w:sz w:val="32"/>
          <w:szCs w:val="32"/>
        </w:rPr>
      </w:pPr>
      <w:r>
        <w:rPr>
          <w:rFonts w:hint="eastAsia" w:eastAsia="仿宋_GB2312"/>
          <w:b/>
          <w:color w:val="000000"/>
          <w:sz w:val="32"/>
          <w:szCs w:val="32"/>
          <w:lang w:val="en-US" w:eastAsia="zh-CN"/>
        </w:rPr>
        <w:t>32路高清视频事件分析仪</w:t>
      </w:r>
      <w:r>
        <w:rPr>
          <w:rFonts w:hint="eastAsia" w:eastAsia="仿宋_GB2312"/>
          <w:b/>
          <w:color w:val="000000"/>
          <w:sz w:val="32"/>
          <w:szCs w:val="32"/>
        </w:rPr>
        <w:t>设备</w:t>
      </w:r>
      <w:r>
        <w:rPr>
          <w:rFonts w:eastAsia="仿宋_GB2312"/>
          <w:b/>
          <w:color w:val="000000"/>
          <w:sz w:val="32"/>
          <w:szCs w:val="32"/>
        </w:rPr>
        <w:t>采购意向征集公告</w:t>
      </w:r>
    </w:p>
    <w:p>
      <w:pPr>
        <w:spacing w:line="360" w:lineRule="auto"/>
        <w:jc w:val="center"/>
        <w:outlineLvl w:val="1"/>
        <w:rPr>
          <w:sz w:val="24"/>
        </w:rPr>
      </w:pPr>
    </w:p>
    <w:p>
      <w:pPr>
        <w:numPr>
          <w:ilvl w:val="0"/>
          <w:numId w:val="3"/>
        </w:numPr>
        <w:topLinePunct/>
        <w:spacing w:line="360" w:lineRule="auto"/>
        <w:outlineLvl w:val="1"/>
        <w:rPr>
          <w:b/>
          <w:snapToGrid w:val="0"/>
          <w:kern w:val="0"/>
          <w:sz w:val="24"/>
        </w:rPr>
      </w:pPr>
      <w:bookmarkStart w:id="3" w:name="_GoBack"/>
      <w:r>
        <w:rPr>
          <w:b/>
          <w:snapToGrid w:val="0"/>
          <w:kern w:val="0"/>
          <w:sz w:val="24"/>
        </w:rPr>
        <w:t>项目概况</w:t>
      </w:r>
    </w:p>
    <w:bookmarkEnd w:id="3"/>
    <w:p>
      <w:pPr>
        <w:wordWrap w:val="0"/>
        <w:topLinePunct/>
        <w:spacing w:line="360" w:lineRule="auto"/>
        <w:ind w:firstLine="566" w:firstLineChars="236"/>
        <w:rPr>
          <w:bCs/>
          <w:snapToGrid w:val="0"/>
          <w:kern w:val="0"/>
          <w:sz w:val="24"/>
        </w:rPr>
      </w:pPr>
      <w:r>
        <w:rPr>
          <w:bCs/>
          <w:snapToGrid w:val="0"/>
          <w:kern w:val="0"/>
          <w:sz w:val="24"/>
        </w:rPr>
        <w:t>1.1项目名称：</w:t>
      </w:r>
      <w:r>
        <w:rPr>
          <w:rFonts w:hint="eastAsia" w:ascii="Times New Roman" w:hAnsi="Times New Roman" w:eastAsia="宋体" w:cs="Times New Roman"/>
          <w:bCs/>
          <w:snapToGrid w:val="0"/>
          <w:kern w:val="0"/>
          <w:sz w:val="24"/>
        </w:rPr>
        <w:t>汕昆高速公路揭阳新亨至梅州畲江段及梅汕高速公路梅州程江至畲江段改扩建工程TX3标</w:t>
      </w:r>
    </w:p>
    <w:p>
      <w:pPr>
        <w:wordWrap w:val="0"/>
        <w:topLinePunct/>
        <w:spacing w:line="360" w:lineRule="auto"/>
        <w:ind w:firstLine="566" w:firstLineChars="236"/>
      </w:pPr>
      <w:r>
        <w:rPr>
          <w:bCs/>
          <w:snapToGrid w:val="0"/>
          <w:kern w:val="0"/>
          <w:sz w:val="24"/>
        </w:rPr>
        <w:t>1.2项目地点：</w:t>
      </w:r>
      <w:r>
        <w:rPr>
          <w:rFonts w:hint="eastAsia"/>
          <w:bCs/>
          <w:snapToGrid w:val="0"/>
          <w:kern w:val="0"/>
          <w:sz w:val="24"/>
          <w:lang w:eastAsia="zh-CN"/>
        </w:rPr>
        <w:t>梅州</w:t>
      </w:r>
      <w:r>
        <w:rPr>
          <w:bCs/>
          <w:snapToGrid w:val="0"/>
          <w:kern w:val="0"/>
          <w:sz w:val="24"/>
        </w:rPr>
        <w:t>市</w:t>
      </w:r>
    </w:p>
    <w:p>
      <w:pPr>
        <w:numPr>
          <w:ilvl w:val="0"/>
          <w:numId w:val="3"/>
        </w:numPr>
        <w:topLinePunct/>
        <w:spacing w:line="360" w:lineRule="auto"/>
        <w:outlineLvl w:val="1"/>
        <w:rPr>
          <w:b/>
        </w:rPr>
      </w:pPr>
      <w:r>
        <w:rPr>
          <w:b/>
          <w:snapToGrid w:val="0"/>
          <w:kern w:val="0"/>
          <w:sz w:val="24"/>
        </w:rPr>
        <w:t>具体工程量清单</w:t>
      </w:r>
    </w:p>
    <w:tbl>
      <w:tblPr>
        <w:tblStyle w:val="14"/>
        <w:tblW w:w="910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4"/>
        <w:gridCol w:w="1553"/>
        <w:gridCol w:w="1906"/>
        <w:gridCol w:w="741"/>
        <w:gridCol w:w="989"/>
        <w:gridCol w:w="28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3" w:hRule="atLeast"/>
          <w:jc w:val="center"/>
        </w:trPr>
        <w:tc>
          <w:tcPr>
            <w:tcW w:w="1094" w:type="dxa"/>
            <w:shd w:val="clear" w:color="auto" w:fill="auto"/>
            <w:vAlign w:val="center"/>
          </w:tcPr>
          <w:p>
            <w:pPr>
              <w:spacing w:line="360" w:lineRule="auto"/>
              <w:jc w:val="center"/>
              <w:rPr>
                <w:szCs w:val="21"/>
              </w:rPr>
            </w:pPr>
            <w:r>
              <w:rPr>
                <w:szCs w:val="21"/>
              </w:rPr>
              <w:t>序号</w:t>
            </w:r>
          </w:p>
        </w:tc>
        <w:tc>
          <w:tcPr>
            <w:tcW w:w="1553" w:type="dxa"/>
            <w:shd w:val="clear" w:color="auto" w:fill="auto"/>
            <w:vAlign w:val="center"/>
          </w:tcPr>
          <w:p>
            <w:pPr>
              <w:spacing w:line="360" w:lineRule="auto"/>
              <w:jc w:val="center"/>
              <w:rPr>
                <w:szCs w:val="21"/>
              </w:rPr>
            </w:pPr>
            <w:r>
              <w:rPr>
                <w:szCs w:val="21"/>
              </w:rPr>
              <w:t>材料名称</w:t>
            </w:r>
          </w:p>
        </w:tc>
        <w:tc>
          <w:tcPr>
            <w:tcW w:w="1906" w:type="dxa"/>
            <w:shd w:val="clear" w:color="auto" w:fill="auto"/>
            <w:vAlign w:val="center"/>
          </w:tcPr>
          <w:p>
            <w:pPr>
              <w:spacing w:line="360" w:lineRule="auto"/>
              <w:jc w:val="center"/>
              <w:rPr>
                <w:szCs w:val="21"/>
              </w:rPr>
            </w:pPr>
            <w:r>
              <w:rPr>
                <w:szCs w:val="21"/>
              </w:rPr>
              <w:t>品牌/型号</w:t>
            </w:r>
          </w:p>
        </w:tc>
        <w:tc>
          <w:tcPr>
            <w:tcW w:w="741" w:type="dxa"/>
            <w:shd w:val="clear" w:color="auto" w:fill="auto"/>
            <w:vAlign w:val="center"/>
          </w:tcPr>
          <w:p>
            <w:pPr>
              <w:spacing w:line="360" w:lineRule="auto"/>
              <w:jc w:val="center"/>
              <w:rPr>
                <w:szCs w:val="21"/>
              </w:rPr>
            </w:pPr>
            <w:r>
              <w:rPr>
                <w:szCs w:val="21"/>
              </w:rPr>
              <w:t>单位</w:t>
            </w:r>
          </w:p>
        </w:tc>
        <w:tc>
          <w:tcPr>
            <w:tcW w:w="989" w:type="dxa"/>
            <w:shd w:val="clear" w:color="auto" w:fill="auto"/>
            <w:vAlign w:val="center"/>
          </w:tcPr>
          <w:p>
            <w:pPr>
              <w:spacing w:line="360" w:lineRule="auto"/>
              <w:jc w:val="center"/>
              <w:rPr>
                <w:szCs w:val="21"/>
              </w:rPr>
            </w:pPr>
            <w:r>
              <w:rPr>
                <w:szCs w:val="21"/>
              </w:rPr>
              <w:t>数量</w:t>
            </w:r>
          </w:p>
        </w:tc>
        <w:tc>
          <w:tcPr>
            <w:tcW w:w="2822" w:type="dxa"/>
            <w:shd w:val="clear" w:color="auto" w:fill="auto"/>
            <w:vAlign w:val="center"/>
          </w:tcPr>
          <w:p>
            <w:pPr>
              <w:spacing w:line="360" w:lineRule="auto"/>
              <w:jc w:val="center"/>
              <w:rPr>
                <w:szCs w:val="21"/>
              </w:rPr>
            </w:pPr>
            <w:r>
              <w:rPr>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3" w:hRule="atLeast"/>
          <w:jc w:val="center"/>
        </w:trPr>
        <w:tc>
          <w:tcPr>
            <w:tcW w:w="1094" w:type="dxa"/>
            <w:shd w:val="clear" w:color="auto" w:fill="auto"/>
            <w:vAlign w:val="center"/>
          </w:tcPr>
          <w:p>
            <w:pPr>
              <w:spacing w:beforeLines="50" w:afterLines="50" w:line="240" w:lineRule="auto"/>
              <w:jc w:val="center"/>
              <w:rPr>
                <w:rFonts w:hint="default"/>
                <w:szCs w:val="21"/>
                <w:lang w:val="en-US"/>
              </w:rPr>
            </w:pPr>
            <w:r>
              <w:rPr>
                <w:rFonts w:hint="eastAsia" w:hAnsiTheme="minorEastAsia" w:eastAsiaTheme="minorEastAsia"/>
                <w:szCs w:val="21"/>
                <w:lang w:val="en-US" w:eastAsia="zh-CN"/>
              </w:rPr>
              <w:t>804-11-11</w:t>
            </w:r>
          </w:p>
        </w:tc>
        <w:tc>
          <w:tcPr>
            <w:tcW w:w="1553" w:type="dxa"/>
            <w:shd w:val="clear" w:color="auto" w:fill="auto"/>
            <w:vAlign w:val="center"/>
          </w:tcPr>
          <w:p>
            <w:pPr>
              <w:spacing w:beforeLines="50" w:afterLines="50" w:line="240" w:lineRule="auto"/>
              <w:jc w:val="center"/>
              <w:rPr>
                <w:rFonts w:hint="default"/>
                <w:szCs w:val="21"/>
                <w:lang w:val="en-US"/>
              </w:rPr>
            </w:pPr>
            <w:r>
              <w:rPr>
                <w:rFonts w:hint="eastAsia" w:hAnsiTheme="minorEastAsia" w:eastAsiaTheme="minorEastAsia"/>
                <w:szCs w:val="21"/>
                <w:lang w:val="en-US" w:eastAsia="zh-CN"/>
              </w:rPr>
              <w:t>32路高清视频事件分析仪（含软件）</w:t>
            </w:r>
          </w:p>
        </w:tc>
        <w:tc>
          <w:tcPr>
            <w:tcW w:w="1906" w:type="dxa"/>
            <w:shd w:val="clear" w:color="auto" w:fill="auto"/>
            <w:vAlign w:val="center"/>
          </w:tcPr>
          <w:p>
            <w:pPr>
              <w:spacing w:beforeLines="50" w:afterLines="50" w:line="240" w:lineRule="auto"/>
              <w:jc w:val="center"/>
              <w:rPr>
                <w:szCs w:val="21"/>
              </w:rPr>
            </w:pPr>
          </w:p>
        </w:tc>
        <w:tc>
          <w:tcPr>
            <w:tcW w:w="741" w:type="dxa"/>
            <w:shd w:val="clear" w:color="auto" w:fill="auto"/>
            <w:vAlign w:val="center"/>
          </w:tcPr>
          <w:p>
            <w:pPr>
              <w:spacing w:beforeLines="50" w:afterLines="50" w:line="240" w:lineRule="auto"/>
              <w:jc w:val="center"/>
              <w:rPr>
                <w:szCs w:val="21"/>
              </w:rPr>
            </w:pPr>
            <w:r>
              <w:rPr>
                <w:rFonts w:hint="eastAsia" w:hAnsiTheme="minorEastAsia" w:eastAsiaTheme="minorEastAsia"/>
                <w:szCs w:val="21"/>
                <w:lang w:val="en-US" w:eastAsia="zh-CN"/>
              </w:rPr>
              <w:t>台</w:t>
            </w:r>
          </w:p>
        </w:tc>
        <w:tc>
          <w:tcPr>
            <w:tcW w:w="989" w:type="dxa"/>
            <w:shd w:val="clear" w:color="auto" w:fill="auto"/>
            <w:vAlign w:val="center"/>
          </w:tcPr>
          <w:p>
            <w:pPr>
              <w:spacing w:beforeLines="50" w:afterLines="50" w:line="240" w:lineRule="auto"/>
              <w:jc w:val="center"/>
              <w:rPr>
                <w:rFonts w:hint="eastAsia" w:eastAsia="宋体"/>
                <w:szCs w:val="21"/>
                <w:lang w:val="en-US" w:eastAsia="zh-CN"/>
              </w:rPr>
            </w:pPr>
            <w:r>
              <w:rPr>
                <w:rFonts w:hint="eastAsia"/>
                <w:szCs w:val="21"/>
                <w:lang w:val="en-US" w:eastAsia="zh-CN"/>
              </w:rPr>
              <w:t>4</w:t>
            </w:r>
          </w:p>
        </w:tc>
        <w:tc>
          <w:tcPr>
            <w:tcW w:w="2822" w:type="dxa"/>
            <w:shd w:val="clear" w:color="auto" w:fill="auto"/>
            <w:vAlign w:val="center"/>
          </w:tcPr>
          <w:p>
            <w:pPr>
              <w:spacing w:line="360" w:lineRule="auto"/>
              <w:jc w:val="center"/>
              <w:rPr>
                <w:rFonts w:hint="default" w:eastAsia="宋体"/>
                <w:szCs w:val="21"/>
                <w:lang w:val="en-US" w:eastAsia="zh-CN"/>
              </w:rPr>
            </w:pPr>
          </w:p>
        </w:tc>
      </w:tr>
    </w:tbl>
    <w:p>
      <w:pPr>
        <w:wordWrap w:val="0"/>
        <w:topLinePunct/>
        <w:spacing w:line="360" w:lineRule="auto"/>
        <w:ind w:firstLine="566" w:firstLineChars="236"/>
        <w:rPr>
          <w:bCs/>
          <w:snapToGrid w:val="0"/>
          <w:kern w:val="0"/>
          <w:sz w:val="24"/>
        </w:rPr>
      </w:pPr>
      <w:r>
        <w:rPr>
          <w:bCs/>
          <w:snapToGrid w:val="0"/>
          <w:kern w:val="0"/>
          <w:sz w:val="24"/>
        </w:rPr>
        <w:t>清单说明：</w:t>
      </w:r>
    </w:p>
    <w:p>
      <w:pPr>
        <w:numPr>
          <w:ilvl w:val="0"/>
          <w:numId w:val="4"/>
        </w:numPr>
        <w:wordWrap w:val="0"/>
        <w:topLinePunct/>
        <w:spacing w:line="360" w:lineRule="auto"/>
        <w:ind w:firstLine="566" w:firstLineChars="236"/>
      </w:pPr>
      <w:r>
        <w:rPr>
          <w:bCs/>
          <w:snapToGrid w:val="0"/>
          <w:kern w:val="0"/>
          <w:sz w:val="24"/>
        </w:rPr>
        <w:t>包括运输、</w:t>
      </w:r>
      <w:r>
        <w:rPr>
          <w:rFonts w:hint="eastAsia" w:hAnsiTheme="minorEastAsia" w:eastAsiaTheme="minorEastAsia"/>
          <w:szCs w:val="21"/>
          <w:lang w:val="en-US" w:eastAsia="zh-CN"/>
        </w:rPr>
        <w:t>指导</w:t>
      </w:r>
      <w:r>
        <w:rPr>
          <w:rFonts w:hAnsiTheme="minorEastAsia" w:eastAsiaTheme="minorEastAsia"/>
          <w:szCs w:val="21"/>
        </w:rPr>
        <w:t>安装调试</w:t>
      </w:r>
      <w:r>
        <w:rPr>
          <w:rFonts w:hint="eastAsia" w:hAnsiTheme="minorEastAsia" w:eastAsiaTheme="minorEastAsia"/>
          <w:szCs w:val="21"/>
          <w:lang w:val="en-US" w:eastAsia="zh-CN"/>
        </w:rPr>
        <w:t>费</w:t>
      </w:r>
      <w:r>
        <w:rPr>
          <w:bCs/>
          <w:snapToGrid w:val="0"/>
          <w:kern w:val="0"/>
          <w:sz w:val="24"/>
        </w:rPr>
        <w:t>、保险费、税费、试运行及缺陷的维护等一切费用；</w:t>
      </w:r>
    </w:p>
    <w:p>
      <w:pPr>
        <w:pStyle w:val="8"/>
        <w:numPr>
          <w:ilvl w:val="0"/>
          <w:numId w:val="4"/>
        </w:numPr>
        <w:ind w:firstLine="566" w:firstLineChars="236"/>
        <w:rPr>
          <w:bCs/>
          <w:snapToGrid w:val="0"/>
          <w:kern w:val="0"/>
          <w:sz w:val="24"/>
        </w:rPr>
      </w:pPr>
      <w:r>
        <w:rPr>
          <w:bCs/>
          <w:snapToGrid w:val="0"/>
          <w:kern w:val="0"/>
          <w:sz w:val="24"/>
        </w:rPr>
        <w:t>质保期：两年；</w:t>
      </w:r>
    </w:p>
    <w:p>
      <w:pPr>
        <w:pStyle w:val="8"/>
        <w:numPr>
          <w:ilvl w:val="0"/>
          <w:numId w:val="4"/>
        </w:numPr>
        <w:ind w:firstLine="566" w:firstLineChars="236"/>
        <w:rPr>
          <w:bCs/>
          <w:snapToGrid w:val="0"/>
          <w:kern w:val="0"/>
          <w:sz w:val="24"/>
        </w:rPr>
      </w:pPr>
      <w:r>
        <w:rPr>
          <w:bCs/>
          <w:snapToGrid w:val="0"/>
          <w:kern w:val="0"/>
          <w:sz w:val="24"/>
        </w:rPr>
        <w:t>最高限价：</w:t>
      </w:r>
      <w:r>
        <w:rPr>
          <w:rFonts w:hint="eastAsia"/>
          <w:bCs/>
          <w:snapToGrid w:val="0"/>
          <w:color w:val="auto"/>
          <w:kern w:val="0"/>
          <w:sz w:val="24"/>
          <w:lang w:val="en-US" w:eastAsia="zh-CN"/>
        </w:rPr>
        <w:t>640000</w:t>
      </w:r>
      <w:r>
        <w:rPr>
          <w:bCs/>
          <w:snapToGrid w:val="0"/>
          <w:color w:val="auto"/>
          <w:kern w:val="0"/>
          <w:sz w:val="24"/>
        </w:rPr>
        <w:t>.00</w:t>
      </w:r>
      <w:r>
        <w:rPr>
          <w:bCs/>
          <w:snapToGrid w:val="0"/>
          <w:kern w:val="0"/>
          <w:sz w:val="24"/>
        </w:rPr>
        <w:t>元。</w:t>
      </w:r>
    </w:p>
    <w:p>
      <w:pPr>
        <w:numPr>
          <w:ilvl w:val="0"/>
          <w:numId w:val="3"/>
        </w:numPr>
        <w:topLinePunct/>
        <w:spacing w:line="360" w:lineRule="auto"/>
        <w:outlineLvl w:val="1"/>
        <w:rPr>
          <w:b/>
          <w:snapToGrid w:val="0"/>
          <w:kern w:val="0"/>
          <w:sz w:val="24"/>
        </w:rPr>
      </w:pPr>
      <w:r>
        <w:rPr>
          <w:b/>
          <w:snapToGrid w:val="0"/>
          <w:kern w:val="0"/>
          <w:sz w:val="24"/>
        </w:rPr>
        <w:t>技术要求</w:t>
      </w:r>
    </w:p>
    <w:p>
      <w:pPr>
        <w:autoSpaceDE w:val="0"/>
        <w:autoSpaceDN w:val="0"/>
        <w:adjustRightInd w:val="0"/>
        <w:spacing w:line="360" w:lineRule="auto"/>
        <w:jc w:val="left"/>
        <w:rPr>
          <w:rFonts w:ascii="宋体" w:hAnsi="宋体" w:cs="宋体"/>
          <w:kern w:val="0"/>
          <w:sz w:val="24"/>
          <w:szCs w:val="24"/>
        </w:rPr>
      </w:pPr>
      <w:r>
        <w:rPr>
          <w:rFonts w:hint="eastAsia" w:ascii="宋体" w:hAnsi="宋体" w:cs="宋体"/>
          <w:color w:val="000000"/>
          <w:kern w:val="0"/>
          <w:sz w:val="24"/>
          <w:szCs w:val="24"/>
        </w:rPr>
        <w:t>32 路高清视频事件分析仪</w:t>
      </w:r>
      <w:r>
        <w:rPr>
          <w:rFonts w:hint="eastAsia" w:ascii="宋体" w:hAnsi="宋体" w:cs="宋体"/>
          <w:kern w:val="0"/>
          <w:sz w:val="24"/>
          <w:szCs w:val="24"/>
        </w:rPr>
        <w:t>指标：</w:t>
      </w:r>
    </w:p>
    <w:p>
      <w:pPr>
        <w:widowControl/>
        <w:jc w:val="left"/>
        <w:rPr>
          <w:rFonts w:ascii="宋体" w:hAnsi="宋体" w:cs="宋体"/>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 xml:space="preserve"> </w:t>
      </w:r>
      <w:r>
        <w:rPr>
          <w:rFonts w:hint="eastAsia" w:ascii="宋体" w:hAnsi="宋体" w:cs="宋体"/>
          <w:color w:val="000000"/>
          <w:kern w:val="0"/>
          <w:sz w:val="24"/>
          <w:szCs w:val="24"/>
        </w:rPr>
        <w:t xml:space="preserve">采用新一代智能视频分析系统，结合智能深度学习技术和 GPU 图像处理技术， </w:t>
      </w:r>
    </w:p>
    <w:p>
      <w:pPr>
        <w:widowControl/>
        <w:jc w:val="left"/>
        <w:rPr>
          <w:rFonts w:ascii="宋体" w:hAnsi="宋体" w:cs="宋体"/>
          <w:kern w:val="0"/>
          <w:sz w:val="24"/>
          <w:szCs w:val="24"/>
        </w:rPr>
      </w:pPr>
      <w:r>
        <w:rPr>
          <w:rFonts w:hint="eastAsia" w:ascii="宋体" w:hAnsi="宋体" w:cs="宋体"/>
          <w:color w:val="000000"/>
          <w:kern w:val="0"/>
          <w:sz w:val="24"/>
          <w:szCs w:val="24"/>
        </w:rPr>
        <w:t xml:space="preserve">通过交通视频符号化来完成交通流量与流速、车辆及道路异常事件的检测，具有 </w:t>
      </w:r>
    </w:p>
    <w:p>
      <w:pPr>
        <w:widowControl/>
        <w:jc w:val="left"/>
        <w:rPr>
          <w:rFonts w:ascii="宋体" w:hAnsi="宋体" w:cs="宋体"/>
          <w:kern w:val="0"/>
          <w:sz w:val="24"/>
          <w:szCs w:val="24"/>
        </w:rPr>
      </w:pPr>
      <w:r>
        <w:rPr>
          <w:rFonts w:hint="eastAsia" w:ascii="宋体" w:hAnsi="宋体" w:cs="宋体"/>
          <w:color w:val="000000"/>
          <w:kern w:val="0"/>
          <w:sz w:val="24"/>
          <w:szCs w:val="24"/>
        </w:rPr>
        <w:t xml:space="preserve">强大的目标对象识别与跟踪的检测能力； </w:t>
      </w:r>
    </w:p>
    <w:p>
      <w:pPr>
        <w:widowControl/>
        <w:jc w:val="left"/>
        <w:rPr>
          <w:rFonts w:ascii="宋体" w:hAnsi="宋体" w:cs="宋体"/>
          <w:kern w:val="0"/>
          <w:sz w:val="24"/>
          <w:szCs w:val="24"/>
        </w:rPr>
      </w:pPr>
      <w:r>
        <w:rPr>
          <w:rFonts w:hint="eastAsia" w:ascii="宋体" w:hAnsi="宋体" w:cs="宋体"/>
          <w:color w:val="000000"/>
          <w:kern w:val="0"/>
          <w:sz w:val="24"/>
          <w:szCs w:val="24"/>
        </w:rPr>
        <w:t xml:space="preserve">- 可接入支持 GB/T 28181/RTSP/SDK 协议的 IPC 或平台的视频流；多台设备可 </w:t>
      </w:r>
    </w:p>
    <w:p>
      <w:pPr>
        <w:widowControl/>
        <w:jc w:val="left"/>
        <w:rPr>
          <w:rFonts w:ascii="宋体" w:hAnsi="宋体" w:cs="宋体"/>
          <w:kern w:val="0"/>
          <w:sz w:val="24"/>
          <w:szCs w:val="24"/>
        </w:rPr>
      </w:pPr>
      <w:r>
        <w:rPr>
          <w:rFonts w:hint="eastAsia" w:ascii="宋体" w:hAnsi="宋体" w:cs="宋体"/>
          <w:color w:val="000000"/>
          <w:kern w:val="0"/>
          <w:sz w:val="24"/>
          <w:szCs w:val="24"/>
        </w:rPr>
        <w:t xml:space="preserve">级联起来协同工作，可将全路段的车流量、平均车速按不同时段、当班时间或自 </w:t>
      </w:r>
    </w:p>
    <w:p>
      <w:pPr>
        <w:widowControl/>
        <w:jc w:val="left"/>
        <w:rPr>
          <w:rFonts w:ascii="宋体" w:hAnsi="宋体" w:cs="宋体"/>
          <w:kern w:val="0"/>
          <w:sz w:val="24"/>
          <w:szCs w:val="24"/>
        </w:rPr>
      </w:pPr>
      <w:r>
        <w:rPr>
          <w:rFonts w:hint="eastAsia" w:ascii="宋体" w:hAnsi="宋体" w:cs="宋体"/>
          <w:color w:val="000000"/>
          <w:kern w:val="0"/>
          <w:sz w:val="24"/>
          <w:szCs w:val="24"/>
        </w:rPr>
        <w:t xml:space="preserve">定义时间分车型（或汇总）以曲线图显示； </w:t>
      </w:r>
    </w:p>
    <w:p>
      <w:pPr>
        <w:widowControl/>
        <w:jc w:val="left"/>
        <w:rPr>
          <w:rFonts w:ascii="宋体" w:hAnsi="宋体" w:cs="宋体"/>
          <w:kern w:val="0"/>
          <w:sz w:val="24"/>
          <w:szCs w:val="24"/>
        </w:rPr>
      </w:pPr>
      <w:r>
        <w:rPr>
          <w:rFonts w:hint="eastAsia" w:ascii="宋体" w:hAnsi="宋体" w:cs="宋体"/>
          <w:color w:val="000000"/>
          <w:kern w:val="0"/>
          <w:sz w:val="24"/>
          <w:szCs w:val="24"/>
        </w:rPr>
        <w:t xml:space="preserve">- 检测路段异常停车，对每车道车流量和平均车速、占有率进行分析统计，具 </w:t>
      </w:r>
    </w:p>
    <w:p>
      <w:pPr>
        <w:widowControl/>
        <w:jc w:val="left"/>
        <w:rPr>
          <w:rFonts w:ascii="宋体" w:hAnsi="宋体" w:cs="宋体"/>
          <w:kern w:val="0"/>
          <w:sz w:val="24"/>
          <w:szCs w:val="24"/>
        </w:rPr>
      </w:pPr>
      <w:r>
        <w:rPr>
          <w:rFonts w:hint="eastAsia" w:ascii="宋体" w:hAnsi="宋体" w:cs="宋体"/>
          <w:color w:val="000000"/>
          <w:kern w:val="0"/>
          <w:sz w:val="24"/>
          <w:szCs w:val="24"/>
        </w:rPr>
        <w:t xml:space="preserve">备识别车辆品牌、车型，部分支持违法取证功能； </w:t>
      </w:r>
    </w:p>
    <w:p>
      <w:pPr>
        <w:widowControl/>
        <w:jc w:val="left"/>
        <w:rPr>
          <w:rFonts w:ascii="宋体" w:hAnsi="宋体" w:cs="宋体"/>
          <w:kern w:val="0"/>
          <w:sz w:val="24"/>
          <w:szCs w:val="24"/>
        </w:rPr>
      </w:pPr>
      <w:r>
        <w:rPr>
          <w:rFonts w:hint="eastAsia" w:ascii="宋体" w:hAnsi="宋体" w:cs="宋体"/>
          <w:color w:val="000000"/>
          <w:kern w:val="0"/>
          <w:sz w:val="24"/>
          <w:szCs w:val="24"/>
        </w:rPr>
        <w:t xml:space="preserve">- 视频自动检测系统应能对现场工作人员（收费员、施工人员）进行识别，只 </w:t>
      </w:r>
    </w:p>
    <w:p>
      <w:pPr>
        <w:widowControl/>
        <w:jc w:val="left"/>
        <w:rPr>
          <w:rFonts w:ascii="宋体" w:hAnsi="宋体" w:cs="宋体"/>
          <w:kern w:val="0"/>
          <w:sz w:val="24"/>
          <w:szCs w:val="24"/>
        </w:rPr>
      </w:pPr>
      <w:r>
        <w:rPr>
          <w:rFonts w:hint="eastAsia" w:ascii="宋体" w:hAnsi="宋体" w:cs="宋体"/>
          <w:color w:val="000000"/>
          <w:kern w:val="0"/>
          <w:sz w:val="24"/>
          <w:szCs w:val="24"/>
        </w:rPr>
        <w:t xml:space="preserve">对社会人员进行告警处理； </w:t>
      </w:r>
    </w:p>
    <w:p>
      <w:pPr>
        <w:widowControl/>
        <w:jc w:val="left"/>
        <w:rPr>
          <w:rFonts w:ascii="宋体" w:hAnsi="宋体" w:cs="宋体"/>
          <w:kern w:val="0"/>
          <w:sz w:val="24"/>
          <w:szCs w:val="24"/>
        </w:rPr>
      </w:pPr>
      <w:r>
        <w:rPr>
          <w:rFonts w:hint="eastAsia" w:ascii="宋体" w:hAnsi="宋体" w:cs="宋体"/>
          <w:color w:val="000000"/>
          <w:kern w:val="0"/>
          <w:sz w:val="24"/>
          <w:szCs w:val="24"/>
        </w:rPr>
        <w:t xml:space="preserve">- 系统 GPU 处理器独立完成事件检测处理，单台深度学习高清事件检测分析仪 </w:t>
      </w:r>
    </w:p>
    <w:p>
      <w:pPr>
        <w:widowControl/>
        <w:jc w:val="left"/>
        <w:rPr>
          <w:rFonts w:ascii="宋体" w:hAnsi="宋体" w:cs="宋体"/>
          <w:kern w:val="0"/>
          <w:sz w:val="24"/>
          <w:szCs w:val="24"/>
        </w:rPr>
      </w:pPr>
      <w:r>
        <w:rPr>
          <w:rFonts w:hint="eastAsia" w:ascii="宋体" w:hAnsi="宋体" w:cs="宋体"/>
          <w:color w:val="000000"/>
          <w:kern w:val="0"/>
          <w:sz w:val="24"/>
          <w:szCs w:val="24"/>
        </w:rPr>
        <w:t>能同时处理不少于 32 路 1080P 高清视频流，各视频通道相互独立、不会出现干</w:t>
      </w:r>
      <w:r>
        <w:rPr>
          <w:rFonts w:hint="eastAsia" w:ascii="宋体" w:hAnsi="宋体" w:cs="宋体"/>
          <w:color w:val="000000"/>
          <w:kern w:val="0"/>
          <w:sz w:val="18"/>
          <w:szCs w:val="18"/>
        </w:rPr>
        <w:t xml:space="preserve"> </w:t>
      </w:r>
    </w:p>
    <w:p>
      <w:pPr>
        <w:widowControl/>
        <w:jc w:val="left"/>
        <w:rPr>
          <w:rFonts w:ascii="宋体" w:hAnsi="宋体" w:cs="宋体"/>
          <w:kern w:val="0"/>
          <w:sz w:val="24"/>
          <w:szCs w:val="24"/>
        </w:rPr>
      </w:pPr>
      <w:r>
        <w:rPr>
          <w:rFonts w:hint="eastAsia" w:ascii="宋体" w:hAnsi="宋体" w:cs="宋体"/>
          <w:color w:val="000000"/>
          <w:kern w:val="0"/>
          <w:sz w:val="24"/>
          <w:szCs w:val="24"/>
        </w:rPr>
        <w:t xml:space="preserve">扰； </w:t>
      </w:r>
    </w:p>
    <w:p>
      <w:pPr>
        <w:widowControl/>
        <w:jc w:val="left"/>
        <w:rPr>
          <w:rFonts w:ascii="宋体" w:hAnsi="宋体" w:cs="宋体"/>
          <w:kern w:val="0"/>
          <w:sz w:val="24"/>
          <w:szCs w:val="24"/>
        </w:rPr>
      </w:pPr>
      <w:r>
        <w:rPr>
          <w:rFonts w:hint="eastAsia" w:ascii="宋体" w:hAnsi="宋体" w:cs="宋体"/>
          <w:color w:val="000000"/>
          <w:kern w:val="0"/>
          <w:sz w:val="24"/>
          <w:szCs w:val="24"/>
        </w:rPr>
        <w:t xml:space="preserve">- 系统应可支持枪机固定视域检测和云台自适应双模式检测，云台模式下系统 </w:t>
      </w:r>
    </w:p>
    <w:p>
      <w:pPr>
        <w:widowControl/>
        <w:jc w:val="left"/>
        <w:rPr>
          <w:rFonts w:ascii="宋体" w:hAnsi="宋体" w:cs="宋体"/>
          <w:kern w:val="0"/>
          <w:sz w:val="24"/>
          <w:szCs w:val="24"/>
        </w:rPr>
      </w:pPr>
      <w:r>
        <w:rPr>
          <w:rFonts w:hint="eastAsia" w:ascii="宋体" w:hAnsi="宋体" w:cs="宋体"/>
          <w:color w:val="000000"/>
          <w:kern w:val="0"/>
          <w:sz w:val="24"/>
          <w:szCs w:val="24"/>
        </w:rPr>
        <w:t xml:space="preserve">应能够对视域内已有的停车事件进行报警； </w:t>
      </w:r>
    </w:p>
    <w:p>
      <w:pPr>
        <w:widowControl/>
        <w:jc w:val="left"/>
        <w:rPr>
          <w:rFonts w:ascii="宋体" w:hAnsi="宋体" w:cs="宋体"/>
          <w:kern w:val="0"/>
          <w:sz w:val="24"/>
          <w:szCs w:val="24"/>
        </w:rPr>
      </w:pPr>
      <w:r>
        <w:rPr>
          <w:rFonts w:hint="eastAsia" w:ascii="宋体" w:hAnsi="宋体" w:cs="宋体"/>
          <w:color w:val="000000"/>
          <w:kern w:val="0"/>
          <w:sz w:val="24"/>
          <w:szCs w:val="24"/>
        </w:rPr>
        <w:t xml:space="preserve">- 事件检测器云台自适应模式下，不画检测线也应能够检测车流方向，并能够 </w:t>
      </w:r>
    </w:p>
    <w:p>
      <w:pPr>
        <w:widowControl/>
        <w:jc w:val="left"/>
        <w:rPr>
          <w:rFonts w:ascii="宋体" w:hAnsi="宋体" w:cs="宋体"/>
          <w:kern w:val="0"/>
          <w:sz w:val="24"/>
          <w:szCs w:val="24"/>
        </w:rPr>
      </w:pPr>
      <w:r>
        <w:rPr>
          <w:rFonts w:hint="eastAsia" w:ascii="宋体" w:hAnsi="宋体" w:cs="宋体"/>
          <w:color w:val="000000"/>
          <w:kern w:val="0"/>
          <w:sz w:val="24"/>
          <w:szCs w:val="24"/>
        </w:rPr>
        <w:t xml:space="preserve">对逆行的车辆进行报警； </w:t>
      </w:r>
    </w:p>
    <w:p>
      <w:pPr>
        <w:widowControl/>
        <w:jc w:val="left"/>
        <w:rPr>
          <w:rFonts w:ascii="宋体" w:hAnsi="宋体" w:cs="宋体"/>
          <w:kern w:val="0"/>
          <w:sz w:val="24"/>
          <w:szCs w:val="24"/>
        </w:rPr>
      </w:pPr>
      <w:r>
        <w:rPr>
          <w:rFonts w:hint="eastAsia" w:ascii="宋体" w:hAnsi="宋体" w:cs="宋体"/>
          <w:color w:val="000000"/>
          <w:kern w:val="0"/>
          <w:sz w:val="24"/>
          <w:szCs w:val="24"/>
        </w:rPr>
        <w:t xml:space="preserve">- 可将各检测点车流量从高到低排行、平均车速从低到高排行展示； </w:t>
      </w:r>
    </w:p>
    <w:p>
      <w:pPr>
        <w:widowControl/>
        <w:jc w:val="left"/>
        <w:rPr>
          <w:rFonts w:ascii="宋体" w:hAnsi="宋体" w:cs="宋体"/>
          <w:kern w:val="0"/>
          <w:sz w:val="24"/>
          <w:szCs w:val="24"/>
        </w:rPr>
      </w:pPr>
      <w:r>
        <w:rPr>
          <w:rFonts w:hint="eastAsia" w:ascii="宋体" w:hAnsi="宋体" w:cs="宋体"/>
          <w:color w:val="000000"/>
          <w:kern w:val="0"/>
          <w:sz w:val="24"/>
          <w:szCs w:val="24"/>
        </w:rPr>
        <w:t xml:space="preserve">- 支持提供异常事件统计报表和交通流量统计报表，并可由用户自定义时段、 </w:t>
      </w:r>
    </w:p>
    <w:p>
      <w:pPr>
        <w:widowControl/>
        <w:jc w:val="left"/>
        <w:rPr>
          <w:rFonts w:ascii="宋体" w:hAnsi="宋体" w:cs="宋体"/>
          <w:kern w:val="0"/>
          <w:sz w:val="24"/>
          <w:szCs w:val="24"/>
        </w:rPr>
      </w:pPr>
      <w:r>
        <w:rPr>
          <w:rFonts w:hint="eastAsia" w:ascii="宋体" w:hAnsi="宋体" w:cs="宋体"/>
          <w:color w:val="000000"/>
          <w:kern w:val="0"/>
          <w:sz w:val="24"/>
          <w:szCs w:val="24"/>
        </w:rPr>
        <w:t xml:space="preserve">位置、事件类型、交通参数类型等选项进行筛选并导出报表； </w:t>
      </w:r>
    </w:p>
    <w:p>
      <w:pPr>
        <w:widowControl/>
        <w:jc w:val="left"/>
        <w:rPr>
          <w:rFonts w:ascii="宋体" w:hAnsi="宋体" w:cs="宋体"/>
          <w:kern w:val="0"/>
          <w:sz w:val="24"/>
          <w:szCs w:val="24"/>
        </w:rPr>
      </w:pPr>
      <w:r>
        <w:rPr>
          <w:rFonts w:hint="eastAsia" w:ascii="宋体" w:hAnsi="宋体" w:cs="宋体"/>
          <w:color w:val="000000"/>
          <w:kern w:val="0"/>
          <w:sz w:val="24"/>
          <w:szCs w:val="24"/>
        </w:rPr>
        <w:t xml:space="preserve">- 白天或有道路照明条件下，对车流量、平均车速、占有率统计准确率不低于 </w:t>
      </w:r>
    </w:p>
    <w:p>
      <w:pPr>
        <w:widowControl/>
        <w:jc w:val="left"/>
        <w:rPr>
          <w:rFonts w:ascii="宋体" w:hAnsi="宋体" w:cs="宋体"/>
          <w:kern w:val="0"/>
          <w:sz w:val="24"/>
          <w:szCs w:val="24"/>
        </w:rPr>
      </w:pPr>
      <w:r>
        <w:rPr>
          <w:rFonts w:hint="eastAsia" w:ascii="宋体" w:hAnsi="宋体" w:cs="宋体"/>
          <w:color w:val="000000"/>
          <w:kern w:val="0"/>
          <w:sz w:val="24"/>
          <w:szCs w:val="24"/>
        </w:rPr>
        <w:t xml:space="preserve">90%； </w:t>
      </w:r>
    </w:p>
    <w:p>
      <w:pPr>
        <w:widowControl/>
        <w:jc w:val="left"/>
        <w:rPr>
          <w:rFonts w:ascii="宋体" w:hAnsi="宋体" w:cs="宋体"/>
          <w:kern w:val="0"/>
          <w:sz w:val="24"/>
          <w:szCs w:val="24"/>
        </w:rPr>
      </w:pPr>
      <w:r>
        <w:rPr>
          <w:rFonts w:hint="eastAsia" w:ascii="宋体" w:hAnsi="宋体" w:cs="宋体"/>
          <w:color w:val="000000"/>
          <w:kern w:val="0"/>
          <w:sz w:val="24"/>
          <w:szCs w:val="24"/>
        </w:rPr>
        <w:t xml:space="preserve">- 白天或有道路照明条件下，车牌识别、车辆特征识别准确率不低于 90%； </w:t>
      </w:r>
    </w:p>
    <w:p>
      <w:pPr>
        <w:widowControl/>
        <w:jc w:val="left"/>
        <w:rPr>
          <w:rFonts w:ascii="宋体" w:hAnsi="宋体" w:cs="宋体"/>
          <w:kern w:val="0"/>
          <w:sz w:val="24"/>
          <w:szCs w:val="24"/>
        </w:rPr>
      </w:pPr>
      <w:r>
        <w:rPr>
          <w:rFonts w:hint="eastAsia" w:ascii="宋体" w:hAnsi="宋体" w:cs="宋体"/>
          <w:color w:val="000000"/>
          <w:kern w:val="0"/>
          <w:sz w:val="24"/>
          <w:szCs w:val="24"/>
        </w:rPr>
        <w:t xml:space="preserve">- 白天或有道路照明条件下，车辆逆行、停车、拥堵的检测准确率不低于 90%， </w:t>
      </w:r>
    </w:p>
    <w:p>
      <w:pPr>
        <w:widowControl/>
        <w:jc w:val="left"/>
        <w:rPr>
          <w:rFonts w:ascii="宋体" w:hAnsi="宋体" w:cs="宋体"/>
          <w:kern w:val="0"/>
          <w:sz w:val="24"/>
          <w:szCs w:val="24"/>
        </w:rPr>
      </w:pPr>
      <w:r>
        <w:rPr>
          <w:rFonts w:hint="eastAsia" w:ascii="宋体" w:hAnsi="宋体" w:cs="宋体"/>
          <w:color w:val="000000"/>
          <w:kern w:val="0"/>
          <w:sz w:val="24"/>
          <w:szCs w:val="24"/>
        </w:rPr>
        <w:t xml:space="preserve">行人、抛洒物等的检测准确度不低于 85%； </w:t>
      </w:r>
    </w:p>
    <w:p>
      <w:pPr>
        <w:widowControl/>
        <w:jc w:val="left"/>
        <w:rPr>
          <w:rFonts w:ascii="宋体" w:hAnsi="宋体" w:cs="宋体"/>
          <w:kern w:val="0"/>
          <w:sz w:val="24"/>
          <w:szCs w:val="24"/>
        </w:rPr>
      </w:pPr>
      <w:r>
        <w:rPr>
          <w:rFonts w:hint="eastAsia" w:ascii="宋体" w:hAnsi="宋体" w:cs="宋体"/>
          <w:color w:val="000000"/>
          <w:kern w:val="0"/>
          <w:sz w:val="24"/>
          <w:szCs w:val="24"/>
        </w:rPr>
        <w:t xml:space="preserve">- 检测误报率不高于 5%； </w:t>
      </w:r>
    </w:p>
    <w:p>
      <w:pPr>
        <w:widowControl/>
        <w:jc w:val="left"/>
        <w:rPr>
          <w:rFonts w:ascii="宋体" w:hAnsi="宋体" w:cs="宋体"/>
          <w:kern w:val="0"/>
          <w:sz w:val="24"/>
          <w:szCs w:val="24"/>
        </w:rPr>
      </w:pPr>
      <w:r>
        <w:rPr>
          <w:rFonts w:hint="eastAsia" w:ascii="宋体" w:hAnsi="宋体" w:cs="宋体"/>
          <w:color w:val="000000"/>
          <w:kern w:val="0"/>
          <w:sz w:val="24"/>
          <w:szCs w:val="24"/>
        </w:rPr>
        <w:t xml:space="preserve">- 具备视频质量检测功能，包括离线检测、视频丢失、亮度检测、颜色检测、 </w:t>
      </w:r>
    </w:p>
    <w:p>
      <w:pPr>
        <w:widowControl/>
        <w:jc w:val="left"/>
        <w:rPr>
          <w:rFonts w:ascii="宋体" w:hAnsi="宋体" w:cs="宋体"/>
          <w:kern w:val="0"/>
          <w:sz w:val="24"/>
          <w:szCs w:val="24"/>
        </w:rPr>
      </w:pPr>
      <w:r>
        <w:rPr>
          <w:rFonts w:hint="eastAsia" w:ascii="宋体" w:hAnsi="宋体" w:cs="宋体"/>
          <w:color w:val="000000"/>
          <w:kern w:val="0"/>
          <w:sz w:val="24"/>
          <w:szCs w:val="24"/>
        </w:rPr>
        <w:t xml:space="preserve">对比度检测、画面冻结检测、图像模糊检测、噪声干扰检测、强横纹检测、滚屏 </w:t>
      </w:r>
    </w:p>
    <w:p>
      <w:pPr>
        <w:widowControl/>
        <w:jc w:val="left"/>
        <w:rPr>
          <w:rFonts w:ascii="宋体" w:hAnsi="宋体" w:cs="宋体"/>
          <w:kern w:val="0"/>
          <w:sz w:val="24"/>
          <w:szCs w:val="24"/>
        </w:rPr>
      </w:pPr>
      <w:r>
        <w:rPr>
          <w:rFonts w:hint="eastAsia" w:ascii="宋体" w:hAnsi="宋体" w:cs="宋体"/>
          <w:color w:val="000000"/>
          <w:kern w:val="0"/>
          <w:sz w:val="24"/>
          <w:szCs w:val="24"/>
        </w:rPr>
        <w:t xml:space="preserve">检测等异常诊断，检测准确率不低于 90%； </w:t>
      </w:r>
    </w:p>
    <w:p>
      <w:pPr>
        <w:widowControl/>
        <w:jc w:val="left"/>
        <w:rPr>
          <w:rFonts w:ascii="宋体" w:hAnsi="宋体" w:cs="宋体"/>
          <w:kern w:val="0"/>
          <w:sz w:val="24"/>
          <w:szCs w:val="24"/>
        </w:rPr>
      </w:pPr>
      <w:r>
        <w:rPr>
          <w:rFonts w:hint="eastAsia" w:ascii="宋体" w:hAnsi="宋体" w:cs="宋体"/>
          <w:color w:val="000000"/>
          <w:kern w:val="0"/>
          <w:sz w:val="24"/>
          <w:szCs w:val="24"/>
        </w:rPr>
        <w:t xml:space="preserve">- 响应时间：自事故事件发生 10-120 秒可调； </w:t>
      </w:r>
    </w:p>
    <w:p>
      <w:pPr>
        <w:widowControl/>
        <w:jc w:val="left"/>
        <w:rPr>
          <w:rFonts w:ascii="宋体" w:hAnsi="宋体" w:cs="宋体"/>
          <w:kern w:val="0"/>
          <w:sz w:val="24"/>
          <w:szCs w:val="24"/>
        </w:rPr>
      </w:pPr>
      <w:r>
        <w:rPr>
          <w:rFonts w:hint="eastAsia" w:ascii="宋体" w:hAnsi="宋体" w:cs="宋体"/>
          <w:color w:val="000000"/>
          <w:kern w:val="0"/>
          <w:sz w:val="24"/>
          <w:szCs w:val="24"/>
        </w:rPr>
        <w:t xml:space="preserve">- 检测事件类型：至少包括行人、停车、抛洒物；事件检测系统能够对警报的 </w:t>
      </w:r>
    </w:p>
    <w:p>
      <w:pPr>
        <w:widowControl/>
        <w:jc w:val="left"/>
        <w:rPr>
          <w:rFonts w:ascii="宋体" w:hAnsi="宋体" w:cs="宋体"/>
          <w:kern w:val="0"/>
          <w:sz w:val="24"/>
          <w:szCs w:val="24"/>
        </w:rPr>
      </w:pPr>
      <w:r>
        <w:rPr>
          <w:rFonts w:hint="eastAsia" w:ascii="宋体" w:hAnsi="宋体" w:cs="宋体"/>
          <w:color w:val="000000"/>
          <w:kern w:val="0"/>
          <w:sz w:val="24"/>
          <w:szCs w:val="24"/>
        </w:rPr>
        <w:t xml:space="preserve">优先级进行分级以避免对同一事件进行多次报警。 </w:t>
      </w:r>
    </w:p>
    <w:p>
      <w:pPr>
        <w:widowControl/>
        <w:jc w:val="left"/>
        <w:rPr>
          <w:rFonts w:ascii="宋体" w:hAnsi="宋体" w:cs="宋体"/>
          <w:kern w:val="0"/>
          <w:sz w:val="24"/>
          <w:szCs w:val="24"/>
        </w:rPr>
      </w:pPr>
      <w:r>
        <w:rPr>
          <w:rFonts w:hint="eastAsia" w:ascii="宋体" w:hAnsi="宋体" w:cs="宋体"/>
          <w:color w:val="000000"/>
          <w:kern w:val="0"/>
          <w:sz w:val="24"/>
          <w:szCs w:val="24"/>
        </w:rPr>
        <w:t xml:space="preserve">- 图像记录：事件及事件前后 15min（事件前 5min、后 10min）图像可调； </w:t>
      </w:r>
    </w:p>
    <w:p>
      <w:pPr>
        <w:widowControl/>
        <w:jc w:val="left"/>
        <w:rPr>
          <w:rFonts w:ascii="宋体" w:hAnsi="宋体" w:cs="宋体"/>
          <w:kern w:val="0"/>
          <w:sz w:val="24"/>
          <w:szCs w:val="24"/>
        </w:rPr>
      </w:pPr>
      <w:r>
        <w:rPr>
          <w:rFonts w:hint="eastAsia" w:ascii="宋体" w:hAnsi="宋体" w:cs="宋体"/>
          <w:color w:val="000000"/>
          <w:kern w:val="0"/>
          <w:sz w:val="24"/>
          <w:szCs w:val="24"/>
        </w:rPr>
        <w:t xml:space="preserve">- 数据存储：可本地存储 90 天以上； </w:t>
      </w:r>
    </w:p>
    <w:p>
      <w:pPr>
        <w:widowControl/>
        <w:jc w:val="left"/>
        <w:rPr>
          <w:rFonts w:ascii="宋体" w:hAnsi="宋体" w:cs="宋体"/>
          <w:kern w:val="0"/>
          <w:sz w:val="24"/>
          <w:szCs w:val="24"/>
        </w:rPr>
      </w:pPr>
      <w:r>
        <w:rPr>
          <w:rFonts w:hint="eastAsia" w:ascii="宋体" w:hAnsi="宋体" w:cs="宋体"/>
          <w:color w:val="000000"/>
          <w:kern w:val="0"/>
          <w:sz w:val="24"/>
          <w:szCs w:val="24"/>
        </w:rPr>
        <w:t xml:space="preserve">- 单检测器可覆盖的车道数≥5； </w:t>
      </w:r>
    </w:p>
    <w:p>
      <w:pPr>
        <w:widowControl/>
        <w:jc w:val="left"/>
        <w:rPr>
          <w:rFonts w:ascii="宋体" w:hAnsi="宋体" w:cs="宋体"/>
          <w:kern w:val="0"/>
          <w:sz w:val="24"/>
          <w:szCs w:val="24"/>
        </w:rPr>
      </w:pPr>
      <w:r>
        <w:rPr>
          <w:rFonts w:hint="eastAsia" w:ascii="宋体" w:hAnsi="宋体" w:cs="宋体"/>
          <w:color w:val="000000"/>
          <w:kern w:val="0"/>
          <w:sz w:val="24"/>
          <w:szCs w:val="24"/>
        </w:rPr>
        <w:t xml:space="preserve">- CPU 处理器：≧2 路以上至强 E5 CPU； </w:t>
      </w:r>
    </w:p>
    <w:p>
      <w:pPr>
        <w:widowControl/>
        <w:jc w:val="left"/>
        <w:rPr>
          <w:rFonts w:ascii="宋体" w:hAnsi="宋体" w:cs="宋体"/>
          <w:kern w:val="0"/>
          <w:sz w:val="24"/>
          <w:szCs w:val="24"/>
        </w:rPr>
      </w:pPr>
      <w:r>
        <w:rPr>
          <w:rFonts w:hint="eastAsia" w:ascii="宋体" w:hAnsi="宋体" w:cs="宋体"/>
          <w:color w:val="000000"/>
          <w:kern w:val="0"/>
          <w:sz w:val="24"/>
          <w:szCs w:val="24"/>
        </w:rPr>
        <w:t xml:space="preserve">- 视频分析 GPU: GPU 总内存≥32GB，单卡推理性能≥64TOPS@INT8，最大可支 </w:t>
      </w:r>
    </w:p>
    <w:p>
      <w:pPr>
        <w:widowControl/>
        <w:jc w:val="left"/>
        <w:rPr>
          <w:rFonts w:ascii="宋体" w:hAnsi="宋体" w:cs="宋体"/>
          <w:kern w:val="0"/>
          <w:sz w:val="24"/>
          <w:szCs w:val="24"/>
        </w:rPr>
      </w:pPr>
      <w:r>
        <w:rPr>
          <w:rFonts w:hint="eastAsia" w:ascii="宋体" w:hAnsi="宋体" w:cs="宋体"/>
          <w:color w:val="000000"/>
          <w:kern w:val="0"/>
          <w:sz w:val="24"/>
          <w:szCs w:val="24"/>
        </w:rPr>
        <w:t xml:space="preserve">持扩展到 6 张 GPU 卡； </w:t>
      </w:r>
    </w:p>
    <w:p>
      <w:pPr>
        <w:widowControl/>
        <w:jc w:val="left"/>
        <w:rPr>
          <w:rFonts w:ascii="宋体" w:hAnsi="宋体" w:cs="宋体"/>
          <w:kern w:val="0"/>
          <w:sz w:val="24"/>
          <w:szCs w:val="24"/>
        </w:rPr>
      </w:pPr>
      <w:r>
        <w:rPr>
          <w:rFonts w:hint="eastAsia" w:ascii="宋体" w:hAnsi="宋体" w:cs="宋体"/>
          <w:color w:val="000000"/>
          <w:kern w:val="0"/>
          <w:sz w:val="24"/>
          <w:szCs w:val="24"/>
        </w:rPr>
        <w:t xml:space="preserve">- 内存：≧64GB DDR4 内存； </w:t>
      </w:r>
    </w:p>
    <w:p>
      <w:pPr>
        <w:widowControl/>
        <w:jc w:val="left"/>
        <w:rPr>
          <w:rFonts w:ascii="宋体" w:hAnsi="宋体" w:cs="宋体"/>
          <w:kern w:val="0"/>
          <w:sz w:val="24"/>
          <w:szCs w:val="24"/>
        </w:rPr>
      </w:pPr>
      <w:r>
        <w:rPr>
          <w:rFonts w:hint="eastAsia" w:ascii="宋体" w:hAnsi="宋体" w:cs="宋体"/>
          <w:color w:val="000000"/>
          <w:kern w:val="0"/>
          <w:sz w:val="24"/>
          <w:szCs w:val="24"/>
        </w:rPr>
        <w:t xml:space="preserve">- 硬盘：≧1 块 SSD 系统硬盘，2 块 4TB HDD； </w:t>
      </w:r>
    </w:p>
    <w:p>
      <w:pPr>
        <w:widowControl/>
        <w:jc w:val="left"/>
        <w:rPr>
          <w:rFonts w:ascii="宋体" w:hAnsi="宋体" w:cs="宋体"/>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 xml:space="preserve"> </w:t>
      </w:r>
      <w:r>
        <w:rPr>
          <w:rFonts w:hint="eastAsia" w:ascii="宋体" w:hAnsi="宋体" w:cs="宋体"/>
          <w:color w:val="000000"/>
          <w:kern w:val="0"/>
          <w:sz w:val="24"/>
          <w:szCs w:val="24"/>
        </w:rPr>
        <w:t xml:space="preserve">机箱：19 寸标准机架式服务器机箱； </w:t>
      </w:r>
    </w:p>
    <w:p>
      <w:pPr>
        <w:widowControl/>
        <w:jc w:val="left"/>
        <w:rPr>
          <w:rFonts w:ascii="宋体" w:hAnsi="宋体" w:cs="宋体"/>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 xml:space="preserve"> </w:t>
      </w:r>
      <w:r>
        <w:rPr>
          <w:rFonts w:hint="eastAsia" w:ascii="宋体" w:hAnsi="宋体" w:cs="宋体"/>
          <w:color w:val="000000"/>
          <w:kern w:val="0"/>
          <w:sz w:val="24"/>
          <w:szCs w:val="24"/>
        </w:rPr>
        <w:t>I/O 接口：至少 2 个 PS/2 口，2 个 USB3.0 口；</w:t>
      </w:r>
      <w:r>
        <w:rPr>
          <w:rFonts w:hint="eastAsia" w:ascii="宋体" w:hAnsi="宋体" w:cs="宋体"/>
          <w:color w:val="000000"/>
          <w:kern w:val="0"/>
          <w:sz w:val="18"/>
          <w:szCs w:val="18"/>
        </w:rPr>
        <w:t xml:space="preserve"> </w:t>
      </w:r>
    </w:p>
    <w:p>
      <w:pPr>
        <w:widowControl/>
        <w:jc w:val="left"/>
        <w:rPr>
          <w:rFonts w:ascii="宋体" w:hAnsi="宋体" w:cs="宋体"/>
          <w:kern w:val="0"/>
          <w:sz w:val="24"/>
          <w:szCs w:val="24"/>
        </w:rPr>
      </w:pPr>
      <w:r>
        <w:rPr>
          <w:rFonts w:hint="eastAsia" w:ascii="宋体" w:hAnsi="宋体" w:cs="宋体"/>
          <w:color w:val="000000"/>
          <w:kern w:val="0"/>
          <w:sz w:val="24"/>
          <w:szCs w:val="24"/>
        </w:rPr>
        <w:t xml:space="preserve">- 以太网：10M/100M/1000M/自适应以太网口； </w:t>
      </w:r>
    </w:p>
    <w:p>
      <w:pPr>
        <w:widowControl/>
        <w:jc w:val="left"/>
        <w:rPr>
          <w:rFonts w:ascii="宋体" w:hAnsi="宋体" w:cs="宋体"/>
          <w:kern w:val="0"/>
          <w:sz w:val="24"/>
          <w:szCs w:val="24"/>
        </w:rPr>
      </w:pPr>
      <w:r>
        <w:rPr>
          <w:rFonts w:hint="eastAsia" w:ascii="宋体" w:hAnsi="宋体" w:cs="宋体"/>
          <w:color w:val="000000"/>
          <w:kern w:val="0"/>
          <w:sz w:val="24"/>
          <w:szCs w:val="24"/>
        </w:rPr>
        <w:t xml:space="preserve">- </w:t>
      </w:r>
    </w:p>
    <w:p>
      <w:pPr>
        <w:widowControl/>
        <w:jc w:val="left"/>
        <w:rPr>
          <w:rFonts w:ascii="宋体" w:hAnsi="宋体" w:cs="宋体"/>
          <w:kern w:val="0"/>
          <w:sz w:val="24"/>
          <w:szCs w:val="24"/>
        </w:rPr>
      </w:pPr>
      <w:r>
        <w:rPr>
          <w:rFonts w:hint="eastAsia" w:ascii="宋体" w:hAnsi="宋体" w:cs="宋体"/>
          <w:color w:val="000000"/>
          <w:kern w:val="0"/>
          <w:sz w:val="24"/>
          <w:szCs w:val="24"/>
        </w:rPr>
        <w:t xml:space="preserve">视频交通事件检测器需经过交通部或公安部检测中心的检测认证；需满足广 </w:t>
      </w:r>
    </w:p>
    <w:p>
      <w:pPr>
        <w:widowControl/>
        <w:jc w:val="left"/>
        <w:rPr>
          <w:rFonts w:ascii="宋体" w:hAnsi="宋体" w:cs="宋体"/>
          <w:kern w:val="0"/>
          <w:sz w:val="24"/>
          <w:szCs w:val="24"/>
        </w:rPr>
      </w:pPr>
      <w:r>
        <w:rPr>
          <w:rFonts w:hint="eastAsia" w:ascii="宋体" w:hAnsi="宋体" w:cs="宋体"/>
          <w:color w:val="000000"/>
          <w:kern w:val="0"/>
          <w:sz w:val="24"/>
          <w:szCs w:val="24"/>
        </w:rPr>
        <w:t xml:space="preserve">东集团视频事件检测测试结果最新要求； </w:t>
      </w:r>
    </w:p>
    <w:p>
      <w:pPr>
        <w:widowControl/>
        <w:jc w:val="left"/>
        <w:rPr>
          <w:rFonts w:ascii="宋体" w:hAnsi="宋体" w:cs="宋体"/>
          <w:kern w:val="0"/>
          <w:sz w:val="24"/>
          <w:szCs w:val="24"/>
        </w:rPr>
      </w:pPr>
      <w:r>
        <w:rPr>
          <w:rFonts w:hint="eastAsia" w:ascii="宋体" w:hAnsi="宋体" w:cs="宋体"/>
          <w:color w:val="000000"/>
          <w:kern w:val="0"/>
          <w:sz w:val="24"/>
          <w:szCs w:val="24"/>
        </w:rPr>
        <w:t xml:space="preserve">- 平均无故障时间不小于 10000h。 </w:t>
      </w:r>
    </w:p>
    <w:p>
      <w:pPr>
        <w:wordWrap w:val="0"/>
        <w:spacing w:line="360" w:lineRule="auto"/>
        <w:rPr>
          <w:rFonts w:hint="eastAsia"/>
          <w:szCs w:val="21"/>
          <w:lang w:eastAsia="zh-CN"/>
        </w:rPr>
      </w:pPr>
    </w:p>
    <w:p>
      <w:pPr>
        <w:tabs>
          <w:tab w:val="left" w:pos="312"/>
        </w:tabs>
        <w:topLinePunct/>
        <w:spacing w:line="360" w:lineRule="auto"/>
        <w:outlineLvl w:val="1"/>
        <w:rPr>
          <w:rFonts w:hint="eastAsia"/>
          <w:szCs w:val="21"/>
          <w:lang w:val="en-US" w:eastAsia="zh-CN"/>
        </w:rPr>
      </w:pPr>
    </w:p>
    <w:p>
      <w:pPr>
        <w:numPr>
          <w:ilvl w:val="0"/>
          <w:numId w:val="3"/>
        </w:numPr>
        <w:topLinePunct/>
        <w:spacing w:line="360" w:lineRule="auto"/>
        <w:outlineLvl w:val="1"/>
        <w:rPr>
          <w:b/>
          <w:snapToGrid w:val="0"/>
          <w:kern w:val="0"/>
          <w:sz w:val="24"/>
        </w:rPr>
      </w:pPr>
      <w:r>
        <w:rPr>
          <w:b/>
          <w:snapToGrid w:val="0"/>
          <w:kern w:val="0"/>
          <w:sz w:val="24"/>
        </w:rPr>
        <w:t>供应商资格条件</w:t>
      </w:r>
    </w:p>
    <w:p>
      <w:pPr>
        <w:pStyle w:val="8"/>
        <w:ind w:firstLine="480"/>
      </w:pPr>
      <w:r>
        <w:rPr>
          <w:sz w:val="24"/>
        </w:rPr>
        <w:t>信用信誉良好，所供设备符合本工程量清单设备技术要求。</w:t>
      </w:r>
    </w:p>
    <w:p>
      <w:pPr>
        <w:numPr>
          <w:ilvl w:val="0"/>
          <w:numId w:val="3"/>
        </w:numPr>
        <w:topLinePunct/>
        <w:spacing w:line="360" w:lineRule="auto"/>
        <w:outlineLvl w:val="1"/>
        <w:rPr>
          <w:b/>
          <w:snapToGrid w:val="0"/>
          <w:kern w:val="0"/>
          <w:sz w:val="24"/>
        </w:rPr>
      </w:pPr>
      <w:r>
        <w:rPr>
          <w:b/>
          <w:snapToGrid w:val="0"/>
          <w:kern w:val="0"/>
          <w:sz w:val="24"/>
        </w:rPr>
        <w:t>响应回执的递交</w:t>
      </w:r>
    </w:p>
    <w:p>
      <w:pPr>
        <w:spacing w:line="360" w:lineRule="auto"/>
        <w:ind w:firstLine="480" w:firstLineChars="200"/>
        <w:rPr>
          <w:snapToGrid w:val="0"/>
          <w:color w:val="000000"/>
          <w:kern w:val="0"/>
          <w:sz w:val="24"/>
        </w:rPr>
      </w:pPr>
      <w:r>
        <w:rPr>
          <w:sz w:val="24"/>
        </w:rPr>
        <w:t>凡有意参加本次采购且具备履行本项目能力的供应商，请</w:t>
      </w:r>
      <w:r>
        <w:rPr>
          <w:color w:val="000000"/>
          <w:sz w:val="24"/>
        </w:rPr>
        <w:t>将附于本公告后的响应回执在</w:t>
      </w:r>
      <w:r>
        <w:rPr>
          <w:color w:val="000000"/>
          <w:sz w:val="24"/>
          <w:u w:val="single"/>
        </w:rPr>
        <w:t>2023年</w:t>
      </w:r>
      <w:r>
        <w:rPr>
          <w:rFonts w:hint="eastAsia"/>
          <w:color w:val="000000"/>
          <w:sz w:val="24"/>
          <w:u w:val="single"/>
          <w:lang w:val="en-US" w:eastAsia="zh-CN"/>
        </w:rPr>
        <w:t>04</w:t>
      </w:r>
      <w:r>
        <w:rPr>
          <w:color w:val="000000"/>
          <w:sz w:val="24"/>
          <w:u w:val="single"/>
        </w:rPr>
        <w:t>月</w:t>
      </w:r>
      <w:r>
        <w:rPr>
          <w:rFonts w:hint="eastAsia"/>
          <w:color w:val="000000"/>
          <w:sz w:val="24"/>
          <w:u w:val="single"/>
          <w:lang w:val="en-US" w:eastAsia="zh-CN"/>
        </w:rPr>
        <w:t>26</w:t>
      </w:r>
      <w:r>
        <w:rPr>
          <w:color w:val="000000"/>
          <w:sz w:val="24"/>
          <w:u w:val="single"/>
        </w:rPr>
        <w:t>日</w:t>
      </w:r>
      <w:r>
        <w:rPr>
          <w:rFonts w:hint="eastAsia"/>
          <w:color w:val="000000"/>
          <w:sz w:val="24"/>
          <w:u w:val="single"/>
          <w:lang w:val="en-US" w:eastAsia="zh-CN"/>
        </w:rPr>
        <w:t>16</w:t>
      </w:r>
      <w:r>
        <w:rPr>
          <w:color w:val="000000"/>
          <w:sz w:val="24"/>
          <w:u w:val="single"/>
        </w:rPr>
        <w:t>：00</w:t>
      </w:r>
      <w:r>
        <w:rPr>
          <w:color w:val="000000"/>
          <w:sz w:val="24"/>
        </w:rPr>
        <w:t>之前发送至采购人邮箱：</w:t>
      </w:r>
      <w:r>
        <w:rPr>
          <w:rFonts w:hint="eastAsia"/>
          <w:color w:val="000000"/>
          <w:sz w:val="24"/>
          <w:lang w:val="en-US" w:eastAsia="zh-CN"/>
        </w:rPr>
        <w:t>gzlhr2</w:t>
      </w:r>
      <w:r>
        <w:rPr>
          <w:snapToGrid w:val="0"/>
          <w:color w:val="000000"/>
          <w:kern w:val="0"/>
          <w:sz w:val="24"/>
        </w:rPr>
        <w:t>@</w:t>
      </w:r>
      <w:r>
        <w:rPr>
          <w:rFonts w:hint="eastAsia"/>
          <w:snapToGrid w:val="0"/>
          <w:color w:val="000000"/>
          <w:kern w:val="0"/>
          <w:sz w:val="24"/>
          <w:lang w:val="en-US" w:eastAsia="zh-CN"/>
        </w:rPr>
        <w:t>163</w:t>
      </w:r>
      <w:r>
        <w:rPr>
          <w:snapToGrid w:val="0"/>
          <w:color w:val="000000"/>
          <w:kern w:val="0"/>
          <w:sz w:val="24"/>
        </w:rPr>
        <w:t>.com，逾期无效。采购人在收到响应回执后根据供应商信用信誉等情况进行讨论提议，不再另行发布采购公告。</w:t>
      </w:r>
    </w:p>
    <w:p>
      <w:pPr>
        <w:numPr>
          <w:ilvl w:val="0"/>
          <w:numId w:val="3"/>
        </w:numPr>
        <w:topLinePunct/>
        <w:spacing w:line="360" w:lineRule="auto"/>
        <w:outlineLvl w:val="1"/>
        <w:rPr>
          <w:b/>
          <w:snapToGrid w:val="0"/>
          <w:kern w:val="0"/>
          <w:sz w:val="24"/>
        </w:rPr>
      </w:pPr>
      <w:bookmarkStart w:id="0" w:name="_Toc332965960"/>
      <w:bookmarkStart w:id="1" w:name="_Toc332793891"/>
      <w:bookmarkStart w:id="2" w:name="_Toc332793818"/>
      <w:r>
        <w:rPr>
          <w:b/>
          <w:snapToGrid w:val="0"/>
          <w:kern w:val="0"/>
          <w:sz w:val="24"/>
        </w:rPr>
        <w:t>联系方式</w:t>
      </w:r>
      <w:bookmarkEnd w:id="0"/>
      <w:bookmarkEnd w:id="1"/>
      <w:bookmarkEnd w:id="2"/>
    </w:p>
    <w:p>
      <w:pPr>
        <w:topLinePunct/>
        <w:spacing w:line="360" w:lineRule="auto"/>
        <w:rPr>
          <w:color w:val="000000"/>
          <w:sz w:val="24"/>
        </w:rPr>
      </w:pPr>
      <w:r>
        <w:rPr>
          <w:color w:val="000000"/>
          <w:sz w:val="24"/>
        </w:rPr>
        <w:t>采购  人：广东诚泰交通科技发展有限公司</w:t>
      </w:r>
    </w:p>
    <w:p>
      <w:pPr>
        <w:topLinePunct/>
        <w:spacing w:line="360" w:lineRule="auto"/>
        <w:rPr>
          <w:color w:val="000000"/>
          <w:sz w:val="24"/>
        </w:rPr>
      </w:pPr>
      <w:r>
        <w:rPr>
          <w:color w:val="000000"/>
          <w:sz w:val="24"/>
        </w:rPr>
        <w:t>采购人地址：广州市番禺区洛浦街道北环路87号道路研究院二号楼</w:t>
      </w:r>
    </w:p>
    <w:p>
      <w:pPr>
        <w:topLinePunct/>
        <w:spacing w:line="360" w:lineRule="auto"/>
        <w:rPr>
          <w:color w:val="000000"/>
          <w:sz w:val="24"/>
        </w:rPr>
      </w:pPr>
      <w:r>
        <w:rPr>
          <w:color w:val="000000"/>
          <w:sz w:val="24"/>
        </w:rPr>
        <w:t>联  系  人：</w:t>
      </w:r>
      <w:r>
        <w:rPr>
          <w:rFonts w:hint="eastAsia"/>
          <w:color w:val="000000"/>
          <w:sz w:val="24"/>
          <w:lang w:val="en-US" w:eastAsia="zh-CN"/>
        </w:rPr>
        <w:t>廖</w:t>
      </w:r>
      <w:r>
        <w:rPr>
          <w:color w:val="000000"/>
          <w:sz w:val="24"/>
        </w:rPr>
        <w:t>工</w:t>
      </w:r>
    </w:p>
    <w:p>
      <w:pPr>
        <w:topLinePunct/>
        <w:spacing w:line="360" w:lineRule="auto"/>
        <w:rPr>
          <w:color w:val="000000"/>
          <w:sz w:val="24"/>
        </w:rPr>
      </w:pPr>
      <w:r>
        <w:rPr>
          <w:color w:val="000000"/>
          <w:sz w:val="24"/>
        </w:rPr>
        <w:t>电      话：020-39185740</w:t>
      </w:r>
    </w:p>
    <w:p>
      <w:pPr>
        <w:topLinePunct/>
        <w:spacing w:line="360" w:lineRule="auto"/>
        <w:jc w:val="right"/>
        <w:rPr>
          <w:color w:val="000000"/>
          <w:sz w:val="24"/>
        </w:rPr>
      </w:pPr>
      <w:r>
        <w:rPr>
          <w:color w:val="000000"/>
          <w:sz w:val="24"/>
        </w:rPr>
        <w:t>广东诚泰交通科技发展有限公司</w:t>
      </w:r>
    </w:p>
    <w:p>
      <w:pPr>
        <w:topLinePunct/>
        <w:spacing w:line="360" w:lineRule="auto"/>
        <w:jc w:val="center"/>
        <w:rPr>
          <w:color w:val="000000"/>
          <w:sz w:val="24"/>
        </w:rPr>
      </w:pPr>
      <w:r>
        <w:rPr>
          <w:color w:val="000000"/>
          <w:sz w:val="24"/>
        </w:rPr>
        <w:t xml:space="preserve">                                              2023年</w:t>
      </w:r>
      <w:r>
        <w:rPr>
          <w:rFonts w:hint="eastAsia"/>
          <w:color w:val="000000"/>
          <w:sz w:val="24"/>
          <w:lang w:val="en-US" w:eastAsia="zh-CN"/>
        </w:rPr>
        <w:t xml:space="preserve">04 </w:t>
      </w:r>
      <w:r>
        <w:rPr>
          <w:color w:val="000000"/>
          <w:sz w:val="24"/>
        </w:rPr>
        <w:t>月</w:t>
      </w:r>
      <w:r>
        <w:rPr>
          <w:rFonts w:hint="eastAsia"/>
          <w:color w:val="000000"/>
          <w:sz w:val="24"/>
          <w:lang w:val="en-US" w:eastAsia="zh-CN"/>
        </w:rPr>
        <w:t>24</w:t>
      </w:r>
      <w:r>
        <w:rPr>
          <w:color w:val="000000"/>
          <w:sz w:val="24"/>
        </w:rPr>
        <w:t>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Book Antiqua">
    <w:altName w:val="Segoe Print"/>
    <w:panose1 w:val="02040602050305030304"/>
    <w:charset w:val="00"/>
    <w:family w:val="roman"/>
    <w:pitch w:val="default"/>
    <w:sig w:usb0="00000000" w:usb1="00000000" w:usb2="00000000" w:usb3="00000000" w:csb0="2000009F" w:csb1="DFD7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PMingLiU">
    <w:panose1 w:val="02020500000000000000"/>
    <w:charset w:val="88"/>
    <w:family w:val="auto"/>
    <w:pitch w:val="default"/>
    <w:sig w:usb0="A00002FF" w:usb1="28CFFCFA" w:usb2="00000016" w:usb3="00000000" w:csb0="00100001"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AEB739B"/>
    <w:multiLevelType w:val="singleLevel"/>
    <w:tmpl w:val="AAEB739B"/>
    <w:lvl w:ilvl="0" w:tentative="0">
      <w:start w:val="1"/>
      <w:numFmt w:val="decimal"/>
      <w:lvlText w:val="%1."/>
      <w:lvlJc w:val="left"/>
      <w:pPr>
        <w:tabs>
          <w:tab w:val="left" w:pos="312"/>
        </w:tabs>
      </w:pPr>
    </w:lvl>
  </w:abstractNum>
  <w:abstractNum w:abstractNumId="1">
    <w:nsid w:val="CEC06D5F"/>
    <w:multiLevelType w:val="singleLevel"/>
    <w:tmpl w:val="CEC06D5F"/>
    <w:lvl w:ilvl="0" w:tentative="0">
      <w:start w:val="1"/>
      <w:numFmt w:val="decimal"/>
      <w:suff w:val="nothing"/>
      <w:lvlText w:val="（%1）"/>
      <w:lvlJc w:val="left"/>
    </w:lvl>
  </w:abstractNum>
  <w:abstractNum w:abstractNumId="2">
    <w:nsid w:val="171657A1"/>
    <w:multiLevelType w:val="multilevel"/>
    <w:tmpl w:val="171657A1"/>
    <w:lvl w:ilvl="0" w:tentative="0">
      <w:start w:val="1"/>
      <w:numFmt w:val="decimal"/>
      <w:suff w:val="nothing"/>
      <w:lvlText w:val="%1 "/>
      <w:lvlJc w:val="left"/>
      <w:pPr>
        <w:ind w:left="0" w:firstLine="0"/>
      </w:pPr>
      <w:rPr>
        <w:rFonts w:hint="default" w:ascii="Book Antiqua" w:hAnsi="Book Antiqua" w:eastAsia="黑体" w:cs="Book Antiqua"/>
        <w:b/>
        <w:bCs/>
        <w:i w:val="0"/>
        <w:iCs w:val="0"/>
        <w:caps w:val="0"/>
        <w:strike w:val="0"/>
        <w:dstrike w:val="0"/>
        <w:vanish w:val="0"/>
        <w:color w:val="000000"/>
        <w:sz w:val="144"/>
        <w:szCs w:val="144"/>
        <w:vertAlign w:val="baseline"/>
      </w:rPr>
    </w:lvl>
    <w:lvl w:ilvl="1" w:tentative="0">
      <w:start w:val="1"/>
      <w:numFmt w:val="decimal"/>
      <w:pStyle w:val="4"/>
      <w:suff w:val="nothing"/>
      <w:lvlText w:val="%1.%2 "/>
      <w:lvlJc w:val="left"/>
      <w:pPr>
        <w:ind w:left="0" w:firstLine="0"/>
      </w:pPr>
      <w:rPr>
        <w:rFonts w:hint="default" w:ascii="Book Antiqua" w:hAnsi="Book Antiqua" w:eastAsia="黑体" w:cs="Book Antiqua"/>
        <w:b w:val="0"/>
        <w:bCs/>
        <w:i w:val="0"/>
        <w:iCs w:val="0"/>
        <w:caps w:val="0"/>
        <w:strike w:val="0"/>
        <w:dstrike w:val="0"/>
        <w:snapToGrid w:val="0"/>
        <w:vanish w:val="0"/>
        <w:color w:val="000000"/>
        <w:spacing w:val="0"/>
        <w:kern w:val="0"/>
        <w:sz w:val="36"/>
        <w:szCs w:val="36"/>
        <w:vertAlign w:val="baseline"/>
      </w:rPr>
    </w:lvl>
    <w:lvl w:ilvl="2" w:tentative="0">
      <w:start w:val="1"/>
      <w:numFmt w:val="decimal"/>
      <w:pStyle w:val="5"/>
      <w:suff w:val="nothing"/>
      <w:lvlText w:val="%1.%2.%3 "/>
      <w:lvlJc w:val="left"/>
      <w:pPr>
        <w:ind w:left="142" w:firstLine="0"/>
      </w:pPr>
    </w:lvl>
    <w:lvl w:ilvl="3" w:tentative="0">
      <w:start w:val="1"/>
      <w:numFmt w:val="decimal"/>
      <w:lvlRestart w:val="1"/>
      <w:pStyle w:val="6"/>
      <w:suff w:val="nothing"/>
      <w:lvlText w:val="%1.%2.%3.%4 "/>
      <w:lvlJc w:val="left"/>
      <w:pPr>
        <w:ind w:left="0" w:firstLine="0"/>
      </w:pPr>
      <w:rPr>
        <w:rFonts w:hint="default" w:ascii="Book Antiqua" w:hAnsi="Book Antiqua" w:eastAsia="黑体" w:cs="Book Antiqua"/>
        <w:bCs/>
        <w:i w:val="0"/>
        <w:iCs w:val="0"/>
        <w:caps w:val="0"/>
        <w:strike w:val="0"/>
        <w:dstrike w:val="0"/>
        <w:vanish w:val="0"/>
        <w:color w:val="000000"/>
        <w:sz w:val="28"/>
        <w:szCs w:val="28"/>
        <w:vertAlign w:val="baseline"/>
      </w:rPr>
    </w:lvl>
    <w:lvl w:ilvl="4" w:tentative="0">
      <w:start w:val="1"/>
      <w:numFmt w:val="decimal"/>
      <w:lvlRestart w:val="1"/>
      <w:pStyle w:val="7"/>
      <w:suff w:val="nothing"/>
      <w:lvlText w:val="%1.%2.%3.%4.%5 "/>
      <w:lvlJc w:val="left"/>
      <w:pPr>
        <w:ind w:left="0" w:firstLine="0"/>
      </w:pPr>
      <w:rPr>
        <w:rFonts w:hint="default" w:ascii="Book Antiqua" w:hAnsi="Book Antiqua" w:eastAsia="黑体" w:cs="Book Antiqua"/>
        <w:bCs/>
        <w:i w:val="0"/>
        <w:iCs w:val="0"/>
        <w:caps w:val="0"/>
        <w:strike w:val="0"/>
        <w:dstrike w:val="0"/>
        <w:vanish w:val="0"/>
        <w:color w:val="000000"/>
        <w:sz w:val="24"/>
        <w:szCs w:val="24"/>
        <w:vertAlign w:val="baseline"/>
      </w:rPr>
    </w:lvl>
    <w:lvl w:ilvl="5" w:tentative="0">
      <w:start w:val="1"/>
      <w:numFmt w:val="none"/>
      <w:pStyle w:val="26"/>
      <w:suff w:val="nothing"/>
      <w:lvlText w:val=""/>
      <w:lvlJc w:val="left"/>
      <w:pPr>
        <w:ind w:left="0" w:firstLine="0"/>
      </w:pPr>
      <w:rPr>
        <w:rFonts w:hint="default" w:ascii="Arial" w:hAnsi="Arial" w:cs="Arial"/>
        <w:b/>
        <w:bCs/>
        <w:i w:val="0"/>
        <w:iCs w:val="0"/>
        <w:caps w:val="0"/>
        <w:strike w:val="0"/>
        <w:dstrike w:val="0"/>
        <w:vanish w:val="0"/>
        <w:color w:val="000000"/>
        <w:sz w:val="20"/>
        <w:szCs w:val="20"/>
        <w:vertAlign w:val="baseline"/>
      </w:rPr>
    </w:lvl>
    <w:lvl w:ilvl="6" w:tentative="0">
      <w:start w:val="1"/>
      <w:numFmt w:val="decimal"/>
      <w:pStyle w:val="30"/>
      <w:lvlText w:val="步骤 %7"/>
      <w:lvlJc w:val="right"/>
      <w:pPr>
        <w:tabs>
          <w:tab w:val="left" w:pos="1701"/>
        </w:tabs>
        <w:ind w:left="1701" w:hanging="159"/>
      </w:pPr>
      <w:rPr>
        <w:rFonts w:hint="default" w:ascii="Book Antiqua" w:hAnsi="Book Antiqua" w:eastAsia="黑体" w:cs="Times New Roman"/>
        <w:b w:val="0"/>
        <w:bCs/>
        <w:i w:val="0"/>
        <w:iCs w:val="0"/>
        <w:color w:val="auto"/>
        <w:sz w:val="21"/>
        <w:szCs w:val="21"/>
      </w:rPr>
    </w:lvl>
    <w:lvl w:ilvl="7" w:tentative="0">
      <w:start w:val="1"/>
      <w:numFmt w:val="decimal"/>
      <w:lvlRestart w:val="1"/>
      <w:pStyle w:val="36"/>
      <w:suff w:val="space"/>
      <w:lvlText w:val="图%1-%8"/>
      <w:lvlJc w:val="left"/>
      <w:pPr>
        <w:ind w:left="1701" w:firstLine="0"/>
      </w:pPr>
      <w:rPr>
        <w:rFonts w:hint="default" w:ascii="Times New Roman" w:hAnsi="Times New Roman" w:eastAsia="黑体" w:cs="Book Antiqua"/>
        <w:b w:val="0"/>
        <w:bCs/>
        <w:i w:val="0"/>
        <w:iCs w:val="0"/>
        <w:strike w:val="0"/>
        <w:dstrike w:val="0"/>
        <w:color w:val="000000"/>
        <w:sz w:val="21"/>
        <w:szCs w:val="21"/>
        <w:vertAlign w:val="baseline"/>
      </w:rPr>
    </w:lvl>
    <w:lvl w:ilvl="8" w:tentative="0">
      <w:start w:val="1"/>
      <w:numFmt w:val="decimal"/>
      <w:lvlRestart w:val="1"/>
      <w:pStyle w:val="27"/>
      <w:suff w:val="space"/>
      <w:lvlText w:val="表%1-%9"/>
      <w:lvlJc w:val="left"/>
      <w:pPr>
        <w:ind w:left="1701" w:firstLine="0"/>
      </w:pPr>
      <w:rPr>
        <w:rFonts w:hint="default" w:ascii="Times New Roman" w:hAnsi="Times New Roman" w:eastAsia="黑体"/>
        <w:b w:val="0"/>
        <w:bCs/>
        <w:i w:val="0"/>
        <w:iCs w:val="0"/>
        <w:color w:val="auto"/>
        <w:sz w:val="21"/>
        <w:szCs w:val="21"/>
      </w:rPr>
    </w:lvl>
  </w:abstractNum>
  <w:abstractNum w:abstractNumId="3">
    <w:nsid w:val="6E230785"/>
    <w:multiLevelType w:val="multilevel"/>
    <w:tmpl w:val="6E230785"/>
    <w:lvl w:ilvl="0" w:tentative="0">
      <w:start w:val="1"/>
      <w:numFmt w:val="bullet"/>
      <w:pStyle w:val="35"/>
      <w:lvlText w:val=""/>
      <w:lvlJc w:val="left"/>
      <w:pPr>
        <w:tabs>
          <w:tab w:val="left" w:pos="170"/>
        </w:tabs>
        <w:ind w:left="170" w:hanging="170"/>
      </w:pPr>
      <w:rPr>
        <w:rFonts w:hint="default" w:ascii="Wingdings" w:hAnsi="Wingdings" w:eastAsia="宋体"/>
        <w:b w:val="0"/>
        <w:i w:val="0"/>
        <w:color w:val="auto"/>
        <w:position w:val="3"/>
        <w:sz w:val="13"/>
        <w:szCs w:val="13"/>
      </w:rPr>
    </w:lvl>
    <w:lvl w:ilvl="1" w:tentative="0">
      <w:start w:val="1"/>
      <w:numFmt w:val="lowerLetter"/>
      <w:pStyle w:val="32"/>
      <w:lvlText w:val="%2."/>
      <w:lvlJc w:val="left"/>
      <w:pPr>
        <w:tabs>
          <w:tab w:val="left" w:pos="284"/>
        </w:tabs>
        <w:ind w:left="568" w:hanging="284"/>
      </w:pPr>
      <w:rPr>
        <w:rFonts w:hint="default" w:ascii="Times New Roman" w:hAnsi="Times New Roman" w:cs="Book Antiqua"/>
        <w:b w:val="0"/>
        <w:bCs/>
        <w:i w:val="0"/>
        <w:iCs w:val="0"/>
        <w:sz w:val="21"/>
        <w:szCs w:val="21"/>
        <w:u w:val="none"/>
      </w:rPr>
    </w:lvl>
    <w:lvl w:ilvl="2" w:tentative="0">
      <w:start w:val="1"/>
      <w:numFmt w:val="bullet"/>
      <w:pStyle w:val="33"/>
      <w:lvlText w:val="−"/>
      <w:lvlJc w:val="left"/>
      <w:pPr>
        <w:tabs>
          <w:tab w:val="left" w:pos="568"/>
        </w:tabs>
        <w:ind w:left="568" w:hanging="284"/>
      </w:pPr>
      <w:rPr>
        <w:rFonts w:hint="default" w:ascii="Times New Roman" w:hAnsi="Times New Roman" w:cs="Times New Roman"/>
        <w:sz w:val="16"/>
        <w:szCs w:val="16"/>
      </w:rPr>
    </w:lvl>
    <w:lvl w:ilvl="3" w:tentative="0">
      <w:start w:val="1"/>
      <w:numFmt w:val="decimal"/>
      <w:pStyle w:val="34"/>
      <w:lvlText w:val="%4."/>
      <w:lvlJc w:val="left"/>
      <w:pPr>
        <w:tabs>
          <w:tab w:val="left" w:pos="284"/>
        </w:tabs>
        <w:ind w:left="568" w:hanging="284"/>
      </w:pPr>
      <w:rPr>
        <w:rFonts w:hint="default" w:ascii="Times New Roman" w:hAnsi="Times New Roman" w:cs="Book Antiqua"/>
        <w:b w:val="0"/>
        <w:bCs/>
        <w:i w:val="0"/>
        <w:iCs w:val="0"/>
        <w:sz w:val="21"/>
        <w:szCs w:val="21"/>
        <w:u w:val="none"/>
      </w:rPr>
    </w:lvl>
    <w:lvl w:ilvl="4" w:tentative="0">
      <w:start w:val="1"/>
      <w:numFmt w:val="bullet"/>
      <w:pStyle w:val="39"/>
      <w:lvlText w:val=""/>
      <w:lvlJc w:val="left"/>
      <w:pPr>
        <w:tabs>
          <w:tab w:val="left" w:pos="568"/>
        </w:tabs>
        <w:ind w:left="568" w:hanging="284"/>
      </w:pPr>
      <w:rPr>
        <w:rFonts w:hint="default" w:ascii="Wingdings" w:hAnsi="Wingdings" w:eastAsia="宋体"/>
        <w:b w:val="0"/>
        <w:i w:val="0"/>
        <w:color w:val="auto"/>
        <w:position w:val="3"/>
        <w:sz w:val="13"/>
        <w:szCs w:val="13"/>
      </w:rPr>
    </w:lvl>
    <w:lvl w:ilvl="5" w:tentative="0">
      <w:start w:val="1"/>
      <w:numFmt w:val="decimal"/>
      <w:pStyle w:val="31"/>
      <w:lvlText w:val="%6."/>
      <w:lvlJc w:val="left"/>
      <w:pPr>
        <w:tabs>
          <w:tab w:val="left" w:pos="1985"/>
        </w:tabs>
        <w:ind w:left="1985" w:hanging="284"/>
      </w:pPr>
      <w:rPr>
        <w:rFonts w:hint="default" w:ascii="Times New Roman" w:hAnsi="Times New Roman" w:cs="Book Antiqua"/>
        <w:color w:val="auto"/>
        <w:spacing w:val="0"/>
        <w:w w:val="100"/>
        <w:position w:val="1"/>
        <w:sz w:val="21"/>
        <w:szCs w:val="21"/>
      </w:rPr>
    </w:lvl>
    <w:lvl w:ilvl="6" w:tentative="0">
      <w:start w:val="1"/>
      <w:numFmt w:val="decimal"/>
      <w:pStyle w:val="37"/>
      <w:lvlText w:val="%7."/>
      <w:lvlJc w:val="left"/>
      <w:pPr>
        <w:tabs>
          <w:tab w:val="left" w:pos="2359"/>
        </w:tabs>
        <w:ind w:left="2359" w:hanging="284"/>
      </w:pPr>
      <w:rPr>
        <w:rFonts w:hint="default" w:ascii="Times New Roman" w:hAnsi="Times New Roman" w:cs="Book Antiqua"/>
        <w:color w:val="auto"/>
        <w:spacing w:val="0"/>
        <w:w w:val="100"/>
        <w:position w:val="1"/>
        <w:sz w:val="18"/>
        <w:szCs w:val="18"/>
      </w:rPr>
    </w:lvl>
    <w:lvl w:ilvl="7" w:tentative="0">
      <w:start w:val="1"/>
      <w:numFmt w:val="decimal"/>
      <w:pStyle w:val="38"/>
      <w:lvlText w:val="%8."/>
      <w:lvlJc w:val="left"/>
      <w:pPr>
        <w:tabs>
          <w:tab w:val="left" w:pos="454"/>
        </w:tabs>
        <w:ind w:left="454" w:hanging="284"/>
      </w:pPr>
      <w:rPr>
        <w:rFonts w:hint="default" w:ascii="Times New Roman" w:hAnsi="Times New Roman" w:cs="Book Antiqua"/>
        <w:color w:val="auto"/>
        <w:spacing w:val="0"/>
        <w:w w:val="100"/>
        <w:position w:val="1"/>
        <w:sz w:val="18"/>
        <w:szCs w:val="18"/>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WZkOTkzOGFkNGEzMDNjMmUwMmNjNzM0N2MyZjUwMDQifQ=="/>
  </w:docVars>
  <w:rsids>
    <w:rsidRoot w:val="00172A27"/>
    <w:rsid w:val="00123FE3"/>
    <w:rsid w:val="001301C5"/>
    <w:rsid w:val="00172A27"/>
    <w:rsid w:val="00477707"/>
    <w:rsid w:val="005603E4"/>
    <w:rsid w:val="00791D96"/>
    <w:rsid w:val="009A3C9A"/>
    <w:rsid w:val="00CC1A2E"/>
    <w:rsid w:val="00ED32E4"/>
    <w:rsid w:val="00EE2011"/>
    <w:rsid w:val="00FA736A"/>
    <w:rsid w:val="00FC4153"/>
    <w:rsid w:val="00FD7ED5"/>
    <w:rsid w:val="02040FDF"/>
    <w:rsid w:val="03393105"/>
    <w:rsid w:val="046E3765"/>
    <w:rsid w:val="06622CB2"/>
    <w:rsid w:val="072D08E0"/>
    <w:rsid w:val="08EE3671"/>
    <w:rsid w:val="0A69025B"/>
    <w:rsid w:val="0DA26991"/>
    <w:rsid w:val="0ECB4993"/>
    <w:rsid w:val="112A7044"/>
    <w:rsid w:val="12ED5CBA"/>
    <w:rsid w:val="14C447F8"/>
    <w:rsid w:val="164C04F3"/>
    <w:rsid w:val="18606150"/>
    <w:rsid w:val="19B32EC3"/>
    <w:rsid w:val="1A786886"/>
    <w:rsid w:val="1D5379E4"/>
    <w:rsid w:val="1DC008E5"/>
    <w:rsid w:val="1F3E25C9"/>
    <w:rsid w:val="1F8905C9"/>
    <w:rsid w:val="20205D7D"/>
    <w:rsid w:val="2039362C"/>
    <w:rsid w:val="22254F9E"/>
    <w:rsid w:val="24875F4B"/>
    <w:rsid w:val="28126A09"/>
    <w:rsid w:val="2A6117E0"/>
    <w:rsid w:val="2A9C2048"/>
    <w:rsid w:val="2B975488"/>
    <w:rsid w:val="2BB05A29"/>
    <w:rsid w:val="2BBE1469"/>
    <w:rsid w:val="2CD93089"/>
    <w:rsid w:val="2D393A69"/>
    <w:rsid w:val="2E0860D1"/>
    <w:rsid w:val="2E5A20BA"/>
    <w:rsid w:val="2ECB5FE2"/>
    <w:rsid w:val="34403FA4"/>
    <w:rsid w:val="34DB5F68"/>
    <w:rsid w:val="35912415"/>
    <w:rsid w:val="38A511DA"/>
    <w:rsid w:val="3A7D6982"/>
    <w:rsid w:val="3C047712"/>
    <w:rsid w:val="3DD1395F"/>
    <w:rsid w:val="3E8C010F"/>
    <w:rsid w:val="3EFD65C9"/>
    <w:rsid w:val="400E2C48"/>
    <w:rsid w:val="403A795B"/>
    <w:rsid w:val="4044389B"/>
    <w:rsid w:val="40C03B09"/>
    <w:rsid w:val="41DC0EAF"/>
    <w:rsid w:val="42100EF9"/>
    <w:rsid w:val="434B112E"/>
    <w:rsid w:val="46C97C03"/>
    <w:rsid w:val="472B5FAC"/>
    <w:rsid w:val="48AD79E8"/>
    <w:rsid w:val="4908486B"/>
    <w:rsid w:val="49DC5C4D"/>
    <w:rsid w:val="4A44006F"/>
    <w:rsid w:val="4BFB311F"/>
    <w:rsid w:val="4DA31AFF"/>
    <w:rsid w:val="4DB34E2F"/>
    <w:rsid w:val="4F3C57FB"/>
    <w:rsid w:val="50DE6FEF"/>
    <w:rsid w:val="515756D7"/>
    <w:rsid w:val="52871060"/>
    <w:rsid w:val="52ED4007"/>
    <w:rsid w:val="54210D44"/>
    <w:rsid w:val="560F1B9D"/>
    <w:rsid w:val="57BF2D4E"/>
    <w:rsid w:val="58B74CBC"/>
    <w:rsid w:val="5B2814D9"/>
    <w:rsid w:val="5E8E770E"/>
    <w:rsid w:val="623B7383"/>
    <w:rsid w:val="63166D1A"/>
    <w:rsid w:val="65922BE0"/>
    <w:rsid w:val="6AC87D14"/>
    <w:rsid w:val="6C083654"/>
    <w:rsid w:val="6C094604"/>
    <w:rsid w:val="6C751B3B"/>
    <w:rsid w:val="6E354925"/>
    <w:rsid w:val="6E4A295F"/>
    <w:rsid w:val="70A15743"/>
    <w:rsid w:val="710B2708"/>
    <w:rsid w:val="724471CD"/>
    <w:rsid w:val="74963E13"/>
    <w:rsid w:val="760D37CC"/>
    <w:rsid w:val="77B73F34"/>
    <w:rsid w:val="79E2018B"/>
    <w:rsid w:val="7C7F737F"/>
    <w:rsid w:val="7DD345AE"/>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5"/>
    <w:link w:val="18"/>
    <w:qFormat/>
    <w:uiPriority w:val="0"/>
    <w:pPr>
      <w:keepNext/>
      <w:keepLines/>
      <w:widowControl/>
      <w:numPr>
        <w:ilvl w:val="1"/>
        <w:numId w:val="1"/>
      </w:numPr>
      <w:topLinePunct/>
      <w:adjustRightInd w:val="0"/>
      <w:snapToGrid w:val="0"/>
      <w:spacing w:before="600" w:after="160" w:line="240" w:lineRule="atLeast"/>
      <w:jc w:val="left"/>
      <w:outlineLvl w:val="1"/>
    </w:pPr>
    <w:rPr>
      <w:rFonts w:hint="eastAsia" w:ascii="Book Antiqua" w:hAnsi="Book Antiqua" w:eastAsia="黑体" w:cs="Book Antiqua"/>
      <w:bCs/>
      <w:kern w:val="0"/>
      <w:sz w:val="36"/>
      <w:szCs w:val="36"/>
      <w:lang w:eastAsia="en-US"/>
    </w:rPr>
  </w:style>
  <w:style w:type="paragraph" w:styleId="5">
    <w:name w:val="heading 3"/>
    <w:basedOn w:val="1"/>
    <w:next w:val="1"/>
    <w:link w:val="19"/>
    <w:qFormat/>
    <w:uiPriority w:val="0"/>
    <w:pPr>
      <w:keepNext/>
      <w:keepLines/>
      <w:widowControl/>
      <w:numPr>
        <w:ilvl w:val="2"/>
        <w:numId w:val="1"/>
      </w:numPr>
      <w:topLinePunct/>
      <w:adjustRightInd w:val="0"/>
      <w:snapToGrid w:val="0"/>
      <w:spacing w:before="200" w:after="160" w:line="240" w:lineRule="atLeast"/>
      <w:jc w:val="left"/>
      <w:outlineLvl w:val="2"/>
    </w:pPr>
    <w:rPr>
      <w:rFonts w:hint="eastAsia" w:ascii="Book Antiqua" w:hAnsi="Book Antiqua" w:eastAsia="黑体" w:cs="宋体"/>
      <w:kern w:val="0"/>
      <w:sz w:val="32"/>
      <w:szCs w:val="32"/>
    </w:rPr>
  </w:style>
  <w:style w:type="paragraph" w:styleId="6">
    <w:name w:val="heading 4"/>
    <w:basedOn w:val="1"/>
    <w:next w:val="1"/>
    <w:link w:val="20"/>
    <w:qFormat/>
    <w:uiPriority w:val="0"/>
    <w:pPr>
      <w:keepNext/>
      <w:keepLines/>
      <w:widowControl/>
      <w:numPr>
        <w:ilvl w:val="3"/>
        <w:numId w:val="1"/>
      </w:numPr>
      <w:topLinePunct/>
      <w:adjustRightInd w:val="0"/>
      <w:snapToGrid w:val="0"/>
      <w:spacing w:before="160" w:after="160" w:line="240" w:lineRule="atLeast"/>
      <w:jc w:val="left"/>
      <w:outlineLvl w:val="3"/>
    </w:pPr>
    <w:rPr>
      <w:rFonts w:hint="eastAsia" w:ascii="Book Antiqua" w:hAnsi="Book Antiqua" w:eastAsia="黑体" w:cs="宋体"/>
      <w:kern w:val="0"/>
      <w:sz w:val="28"/>
      <w:szCs w:val="28"/>
    </w:rPr>
  </w:style>
  <w:style w:type="paragraph" w:styleId="7">
    <w:name w:val="heading 5"/>
    <w:basedOn w:val="1"/>
    <w:next w:val="1"/>
    <w:link w:val="21"/>
    <w:qFormat/>
    <w:uiPriority w:val="0"/>
    <w:pPr>
      <w:keepNext/>
      <w:keepLines/>
      <w:widowControl/>
      <w:numPr>
        <w:ilvl w:val="4"/>
        <w:numId w:val="1"/>
      </w:numPr>
      <w:topLinePunct/>
      <w:adjustRightInd w:val="0"/>
      <w:snapToGrid w:val="0"/>
      <w:spacing w:before="160" w:after="160" w:line="240" w:lineRule="atLeast"/>
      <w:jc w:val="left"/>
      <w:outlineLvl w:val="4"/>
    </w:pPr>
    <w:rPr>
      <w:rFonts w:hint="eastAsia" w:ascii="Book Antiqua" w:hAnsi="Book Antiqua" w:eastAsia="黑体" w:cs="宋体"/>
      <w:kern w:val="0"/>
      <w:sz w:val="24"/>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表格文字"/>
    <w:basedOn w:val="3"/>
    <w:qFormat/>
    <w:uiPriority w:val="0"/>
    <w:pPr>
      <w:adjustRightInd w:val="0"/>
      <w:spacing w:line="420" w:lineRule="atLeast"/>
      <w:textAlignment w:val="baseline"/>
    </w:pPr>
  </w:style>
  <w:style w:type="paragraph" w:customStyle="1" w:styleId="3">
    <w:name w:val="正文1"/>
    <w:qFormat/>
    <w:uiPriority w:val="99"/>
    <w:pPr>
      <w:ind w:firstLine="360"/>
    </w:pPr>
    <w:rPr>
      <w:rFonts w:hint="eastAsia" w:ascii="Calibri" w:hAnsi="Calibri" w:eastAsia="宋体" w:cs="Times New Roman"/>
      <w:sz w:val="22"/>
      <w:szCs w:val="22"/>
      <w:lang w:val="en-US" w:eastAsia="en-US" w:bidi="ar-SA"/>
    </w:rPr>
  </w:style>
  <w:style w:type="paragraph" w:styleId="8">
    <w:name w:val="Normal Indent"/>
    <w:basedOn w:val="1"/>
    <w:qFormat/>
    <w:uiPriority w:val="99"/>
    <w:pPr>
      <w:ind w:firstLine="420" w:firstLineChars="200"/>
    </w:pPr>
  </w:style>
  <w:style w:type="paragraph" w:styleId="9">
    <w:name w:val="Body Text Indent"/>
    <w:basedOn w:val="1"/>
    <w:qFormat/>
    <w:uiPriority w:val="0"/>
    <w:pPr>
      <w:spacing w:after="120"/>
      <w:ind w:left="420" w:leftChars="200"/>
    </w:pPr>
    <w:rPr>
      <w:lang w:val="zh-CN"/>
    </w:rPr>
  </w:style>
  <w:style w:type="paragraph" w:styleId="10">
    <w:name w:val="Plain Text"/>
    <w:basedOn w:val="1"/>
    <w:next w:val="1"/>
    <w:qFormat/>
    <w:uiPriority w:val="0"/>
    <w:rPr>
      <w:rFonts w:ascii="宋体" w:hAnsi="Courier New"/>
      <w:szCs w:val="20"/>
    </w:rPr>
  </w:style>
  <w:style w:type="paragraph" w:styleId="11">
    <w:name w:val="Balloon Text"/>
    <w:basedOn w:val="1"/>
    <w:link w:val="40"/>
    <w:qFormat/>
    <w:uiPriority w:val="0"/>
    <w:rPr>
      <w:sz w:val="18"/>
      <w:szCs w:val="18"/>
    </w:rPr>
  </w:style>
  <w:style w:type="paragraph" w:styleId="12">
    <w:name w:val="footer"/>
    <w:basedOn w:val="1"/>
    <w:link w:val="17"/>
    <w:qFormat/>
    <w:uiPriority w:val="0"/>
    <w:pPr>
      <w:tabs>
        <w:tab w:val="center" w:pos="4153"/>
        <w:tab w:val="right" w:pos="8306"/>
      </w:tabs>
      <w:snapToGrid w:val="0"/>
      <w:jc w:val="left"/>
    </w:pPr>
    <w:rPr>
      <w:sz w:val="18"/>
      <w:szCs w:val="18"/>
    </w:rPr>
  </w:style>
  <w:style w:type="paragraph" w:styleId="13">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character" w:customStyle="1" w:styleId="16">
    <w:name w:val="页眉 Char"/>
    <w:basedOn w:val="15"/>
    <w:link w:val="13"/>
    <w:qFormat/>
    <w:uiPriority w:val="0"/>
    <w:rPr>
      <w:kern w:val="2"/>
      <w:sz w:val="18"/>
      <w:szCs w:val="18"/>
    </w:rPr>
  </w:style>
  <w:style w:type="character" w:customStyle="1" w:styleId="17">
    <w:name w:val="页脚 Char"/>
    <w:basedOn w:val="15"/>
    <w:link w:val="12"/>
    <w:qFormat/>
    <w:uiPriority w:val="0"/>
    <w:rPr>
      <w:kern w:val="2"/>
      <w:sz w:val="18"/>
      <w:szCs w:val="18"/>
    </w:rPr>
  </w:style>
  <w:style w:type="character" w:customStyle="1" w:styleId="18">
    <w:name w:val="标题 2 Char"/>
    <w:basedOn w:val="15"/>
    <w:link w:val="4"/>
    <w:qFormat/>
    <w:uiPriority w:val="0"/>
    <w:rPr>
      <w:rFonts w:ascii="Book Antiqua" w:hAnsi="Book Antiqua" w:eastAsia="黑体" w:cs="Book Antiqua"/>
      <w:bCs/>
      <w:sz w:val="36"/>
      <w:szCs w:val="36"/>
      <w:lang w:eastAsia="en-US"/>
    </w:rPr>
  </w:style>
  <w:style w:type="character" w:customStyle="1" w:styleId="19">
    <w:name w:val="标题 3 Char"/>
    <w:basedOn w:val="15"/>
    <w:link w:val="5"/>
    <w:qFormat/>
    <w:uiPriority w:val="0"/>
    <w:rPr>
      <w:rFonts w:ascii="Book Antiqua" w:hAnsi="Book Antiqua" w:eastAsia="黑体" w:cs="宋体"/>
      <w:sz w:val="32"/>
      <w:szCs w:val="32"/>
    </w:rPr>
  </w:style>
  <w:style w:type="character" w:customStyle="1" w:styleId="20">
    <w:name w:val="标题 4 Char"/>
    <w:basedOn w:val="15"/>
    <w:link w:val="6"/>
    <w:qFormat/>
    <w:uiPriority w:val="0"/>
    <w:rPr>
      <w:rFonts w:ascii="Book Antiqua" w:hAnsi="Book Antiqua" w:eastAsia="黑体" w:cs="宋体"/>
      <w:sz w:val="28"/>
      <w:szCs w:val="28"/>
    </w:rPr>
  </w:style>
  <w:style w:type="character" w:customStyle="1" w:styleId="21">
    <w:name w:val="标题 5 Char"/>
    <w:basedOn w:val="15"/>
    <w:link w:val="7"/>
    <w:qFormat/>
    <w:uiPriority w:val="0"/>
    <w:rPr>
      <w:rFonts w:ascii="Book Antiqua" w:hAnsi="Book Antiqua" w:eastAsia="黑体" w:cs="宋体"/>
      <w:sz w:val="24"/>
      <w:szCs w:val="24"/>
    </w:rPr>
  </w:style>
  <w:style w:type="paragraph" w:styleId="22">
    <w:name w:val="List Paragraph"/>
    <w:basedOn w:val="1"/>
    <w:link w:val="23"/>
    <w:qFormat/>
    <w:uiPriority w:val="34"/>
    <w:pPr>
      <w:ind w:firstLine="420" w:firstLineChars="200"/>
    </w:pPr>
    <w:rPr>
      <w:rFonts w:asciiTheme="minorHAnsi" w:hAnsiTheme="minorHAnsi" w:eastAsiaTheme="minorEastAsia" w:cstheme="minorBidi"/>
      <w:szCs w:val="22"/>
    </w:rPr>
  </w:style>
  <w:style w:type="character" w:customStyle="1" w:styleId="23">
    <w:name w:val="列出段落 Char"/>
    <w:link w:val="22"/>
    <w:qFormat/>
    <w:uiPriority w:val="34"/>
    <w:rPr>
      <w:rFonts w:asciiTheme="minorHAnsi" w:hAnsiTheme="minorHAnsi" w:eastAsiaTheme="minorEastAsia" w:cstheme="minorBidi"/>
      <w:kern w:val="2"/>
      <w:sz w:val="21"/>
      <w:szCs w:val="22"/>
    </w:rPr>
  </w:style>
  <w:style w:type="character" w:customStyle="1" w:styleId="24">
    <w:name w:val="Item Step in table Char Char"/>
    <w:link w:val="25"/>
    <w:qFormat/>
    <w:uiPriority w:val="0"/>
    <w:rPr>
      <w:rFonts w:cs="Arial"/>
      <w:bCs/>
      <w:szCs w:val="28"/>
    </w:rPr>
  </w:style>
  <w:style w:type="paragraph" w:customStyle="1" w:styleId="25">
    <w:name w:val="Item Step in table"/>
    <w:basedOn w:val="7"/>
    <w:link w:val="24"/>
    <w:qFormat/>
    <w:uiPriority w:val="0"/>
    <w:pPr>
      <w:numPr>
        <w:ilvl w:val="0"/>
        <w:numId w:val="0"/>
      </w:numPr>
      <w:tabs>
        <w:tab w:val="left" w:pos="420"/>
      </w:tabs>
      <w:spacing w:before="80" w:after="80" w:line="240" w:lineRule="auto"/>
      <w:ind w:left="420" w:hanging="420"/>
    </w:pPr>
    <w:rPr>
      <w:rFonts w:hint="default" w:ascii="Times New Roman" w:hAnsi="Times New Roman" w:eastAsia="宋体" w:cs="Arial"/>
      <w:bCs/>
      <w:sz w:val="20"/>
      <w:szCs w:val="28"/>
    </w:rPr>
  </w:style>
  <w:style w:type="paragraph" w:customStyle="1" w:styleId="26">
    <w:name w:val="Block Label"/>
    <w:basedOn w:val="1"/>
    <w:next w:val="1"/>
    <w:qFormat/>
    <w:uiPriority w:val="0"/>
    <w:pPr>
      <w:keepNext/>
      <w:keepLines/>
      <w:widowControl/>
      <w:numPr>
        <w:ilvl w:val="5"/>
        <w:numId w:val="1"/>
      </w:numPr>
      <w:topLinePunct/>
      <w:adjustRightInd w:val="0"/>
      <w:snapToGrid w:val="0"/>
      <w:spacing w:before="300" w:after="80" w:line="240" w:lineRule="atLeast"/>
      <w:jc w:val="left"/>
    </w:pPr>
    <w:rPr>
      <w:rFonts w:hint="eastAsia" w:ascii="Book Antiqua" w:hAnsi="Book Antiqua" w:eastAsia="黑体" w:cs="Book Antiqua"/>
      <w:bCs/>
      <w:kern w:val="0"/>
      <w:sz w:val="26"/>
      <w:szCs w:val="26"/>
    </w:rPr>
  </w:style>
  <w:style w:type="paragraph" w:customStyle="1" w:styleId="27">
    <w:name w:val="Table Description"/>
    <w:basedOn w:val="1"/>
    <w:next w:val="1"/>
    <w:qFormat/>
    <w:uiPriority w:val="0"/>
    <w:pPr>
      <w:keepNext/>
      <w:widowControl/>
      <w:numPr>
        <w:ilvl w:val="8"/>
        <w:numId w:val="1"/>
      </w:numPr>
      <w:topLinePunct/>
      <w:adjustRightInd w:val="0"/>
      <w:snapToGrid w:val="0"/>
      <w:spacing w:before="320" w:after="80" w:line="240" w:lineRule="atLeast"/>
      <w:jc w:val="left"/>
    </w:pPr>
    <w:rPr>
      <w:rFonts w:hint="eastAsia" w:eastAsia="黑体" w:cs="Arial"/>
      <w:spacing w:val="-4"/>
      <w:szCs w:val="21"/>
    </w:rPr>
  </w:style>
  <w:style w:type="character" w:customStyle="1" w:styleId="28">
    <w:name w:val="Table Text Char"/>
    <w:link w:val="29"/>
    <w:qFormat/>
    <w:uiPriority w:val="0"/>
    <w:rPr>
      <w:rFonts w:cs="Arial"/>
      <w:szCs w:val="21"/>
    </w:rPr>
  </w:style>
  <w:style w:type="paragraph" w:customStyle="1" w:styleId="29">
    <w:name w:val="Table Text"/>
    <w:basedOn w:val="1"/>
    <w:link w:val="28"/>
    <w:qFormat/>
    <w:uiPriority w:val="0"/>
    <w:pPr>
      <w:topLinePunct/>
      <w:adjustRightInd w:val="0"/>
      <w:snapToGrid w:val="0"/>
      <w:spacing w:before="80" w:after="80" w:line="240" w:lineRule="atLeast"/>
      <w:jc w:val="left"/>
    </w:pPr>
    <w:rPr>
      <w:rFonts w:cs="Arial"/>
      <w:kern w:val="0"/>
      <w:sz w:val="20"/>
      <w:szCs w:val="21"/>
    </w:rPr>
  </w:style>
  <w:style w:type="paragraph" w:customStyle="1" w:styleId="30">
    <w:name w:val="Step"/>
    <w:basedOn w:val="1"/>
    <w:qFormat/>
    <w:uiPriority w:val="0"/>
    <w:pPr>
      <w:widowControl/>
      <w:numPr>
        <w:ilvl w:val="6"/>
        <w:numId w:val="1"/>
      </w:numPr>
      <w:topLinePunct/>
      <w:adjustRightInd w:val="0"/>
      <w:snapToGrid w:val="0"/>
      <w:spacing w:before="160" w:after="160" w:line="240" w:lineRule="atLeast"/>
      <w:jc w:val="left"/>
    </w:pPr>
    <w:rPr>
      <w:rFonts w:hint="eastAsia" w:cs="Arial"/>
      <w:snapToGrid w:val="0"/>
      <w:kern w:val="0"/>
      <w:szCs w:val="21"/>
    </w:rPr>
  </w:style>
  <w:style w:type="paragraph" w:customStyle="1" w:styleId="31">
    <w:name w:val="CAUTION Text Step"/>
    <w:basedOn w:val="1"/>
    <w:qFormat/>
    <w:uiPriority w:val="0"/>
    <w:pPr>
      <w:keepNext/>
      <w:keepLines/>
      <w:widowControl/>
      <w:numPr>
        <w:ilvl w:val="5"/>
        <w:numId w:val="2"/>
      </w:numPr>
      <w:pBdr>
        <w:bottom w:val="single" w:color="auto" w:sz="12" w:space="4"/>
      </w:pBdr>
      <w:topLinePunct/>
      <w:adjustRightInd w:val="0"/>
      <w:snapToGrid w:val="0"/>
      <w:spacing w:before="80" w:after="80" w:line="240" w:lineRule="atLeast"/>
      <w:jc w:val="left"/>
    </w:pPr>
    <w:rPr>
      <w:rFonts w:hint="eastAsia" w:eastAsia="楷体_GB2312" w:cs="Arial"/>
      <w:iCs/>
      <w:szCs w:val="21"/>
    </w:rPr>
  </w:style>
  <w:style w:type="paragraph" w:customStyle="1" w:styleId="32">
    <w:name w:val="Sub Item Step in Table"/>
    <w:qFormat/>
    <w:uiPriority w:val="0"/>
    <w:pPr>
      <w:numPr>
        <w:ilvl w:val="1"/>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3">
    <w:name w:val="Sub Item List in Table"/>
    <w:basedOn w:val="1"/>
    <w:qFormat/>
    <w:uiPriority w:val="0"/>
    <w:pPr>
      <w:widowControl/>
      <w:numPr>
        <w:ilvl w:val="2"/>
        <w:numId w:val="2"/>
      </w:numPr>
      <w:topLinePunct/>
      <w:adjustRightInd w:val="0"/>
      <w:snapToGrid w:val="0"/>
      <w:spacing w:before="80" w:after="80" w:line="240" w:lineRule="atLeast"/>
      <w:jc w:val="left"/>
    </w:pPr>
    <w:rPr>
      <w:rFonts w:hint="eastAsia" w:cs="Arial"/>
      <w:szCs w:val="21"/>
    </w:rPr>
  </w:style>
  <w:style w:type="paragraph" w:customStyle="1" w:styleId="34">
    <w:name w:val="Sub Item Step in Table List"/>
    <w:qFormat/>
    <w:uiPriority w:val="0"/>
    <w:pPr>
      <w:numPr>
        <w:ilvl w:val="3"/>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5">
    <w:name w:val="Item List in Table"/>
    <w:basedOn w:val="1"/>
    <w:qFormat/>
    <w:uiPriority w:val="99"/>
    <w:pPr>
      <w:widowControl/>
      <w:numPr>
        <w:ilvl w:val="0"/>
        <w:numId w:val="2"/>
      </w:numPr>
      <w:tabs>
        <w:tab w:val="left" w:pos="284"/>
      </w:tabs>
      <w:topLinePunct/>
      <w:adjustRightInd w:val="0"/>
      <w:snapToGrid w:val="0"/>
      <w:spacing w:before="80" w:after="80" w:line="240" w:lineRule="atLeast"/>
      <w:jc w:val="left"/>
    </w:pPr>
    <w:rPr>
      <w:rFonts w:hint="eastAsia" w:cs="Arial"/>
      <w:kern w:val="0"/>
      <w:szCs w:val="21"/>
    </w:rPr>
  </w:style>
  <w:style w:type="paragraph" w:customStyle="1" w:styleId="36">
    <w:name w:val="Figure Description"/>
    <w:next w:val="1"/>
    <w:qFormat/>
    <w:uiPriority w:val="0"/>
    <w:pPr>
      <w:keepNext/>
      <w:numPr>
        <w:ilvl w:val="7"/>
        <w:numId w:val="1"/>
      </w:numPr>
      <w:adjustRightInd w:val="0"/>
      <w:snapToGrid w:val="0"/>
      <w:spacing w:before="320" w:after="80" w:line="240" w:lineRule="atLeast"/>
    </w:pPr>
    <w:rPr>
      <w:rFonts w:ascii="Times New Roman" w:hAnsi="Times New Roman" w:eastAsia="黑体" w:cs="Arial"/>
      <w:spacing w:val="-4"/>
      <w:kern w:val="2"/>
      <w:sz w:val="21"/>
      <w:szCs w:val="21"/>
      <w:lang w:val="en-US" w:eastAsia="zh-CN" w:bidi="ar-SA"/>
    </w:rPr>
  </w:style>
  <w:style w:type="paragraph" w:customStyle="1" w:styleId="37">
    <w:name w:val="Notes Text Step"/>
    <w:basedOn w:val="31"/>
    <w:qFormat/>
    <w:uiPriority w:val="0"/>
    <w:pPr>
      <w:numPr>
        <w:ilvl w:val="6"/>
      </w:numPr>
      <w:pBdr>
        <w:bottom w:val="none" w:color="auto" w:sz="0" w:space="0"/>
      </w:pBdr>
      <w:spacing w:before="40" w:line="200" w:lineRule="atLeast"/>
    </w:pPr>
    <w:rPr>
      <w:sz w:val="18"/>
      <w:szCs w:val="18"/>
    </w:rPr>
  </w:style>
  <w:style w:type="paragraph" w:customStyle="1" w:styleId="38">
    <w:name w:val="Notes Text Step in Table"/>
    <w:qFormat/>
    <w:uiPriority w:val="0"/>
    <w:pPr>
      <w:numPr>
        <w:ilvl w:val="7"/>
        <w:numId w:val="2"/>
      </w:numPr>
      <w:spacing w:before="40" w:after="80" w:line="200" w:lineRule="atLeast"/>
    </w:pPr>
    <w:rPr>
      <w:rFonts w:ascii="Times New Roman" w:hAnsi="Times New Roman" w:eastAsia="楷体_GB2312" w:cs="楷体_GB2312"/>
      <w:sz w:val="18"/>
      <w:szCs w:val="18"/>
      <w:lang w:val="en-US" w:eastAsia="zh-CN" w:bidi="ar-SA"/>
    </w:rPr>
  </w:style>
  <w:style w:type="paragraph" w:customStyle="1" w:styleId="39">
    <w:name w:val="Sub Item List in Table Step"/>
    <w:basedOn w:val="1"/>
    <w:qFormat/>
    <w:uiPriority w:val="0"/>
    <w:pPr>
      <w:widowControl/>
      <w:numPr>
        <w:ilvl w:val="4"/>
        <w:numId w:val="2"/>
      </w:numPr>
      <w:topLinePunct/>
      <w:adjustRightInd w:val="0"/>
      <w:snapToGrid w:val="0"/>
      <w:spacing w:before="80" w:after="80" w:line="240" w:lineRule="atLeast"/>
      <w:jc w:val="left"/>
    </w:pPr>
    <w:rPr>
      <w:rFonts w:hint="eastAsia" w:cs="Arial"/>
      <w:szCs w:val="21"/>
    </w:rPr>
  </w:style>
  <w:style w:type="character" w:customStyle="1" w:styleId="40">
    <w:name w:val="批注框文本 Char"/>
    <w:basedOn w:val="15"/>
    <w:link w:val="11"/>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738</Words>
  <Characters>988</Characters>
  <Lines>61</Lines>
  <Paragraphs>17</Paragraphs>
  <TotalTime>1</TotalTime>
  <ScaleCrop>false</ScaleCrop>
  <LinksUpToDate>false</LinksUpToDate>
  <CharactersWithSpaces>1078</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Administrator</cp:lastModifiedBy>
  <cp:lastPrinted>2022-10-20T06:50:00Z</cp:lastPrinted>
  <dcterms:modified xsi:type="dcterms:W3CDTF">2023-04-24T06:15:36Z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ICV">
    <vt:lpwstr>B75484C30A0D48A998196F431A9A3E69</vt:lpwstr>
  </property>
</Properties>
</file>