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</w:t>
      </w:r>
      <w:r>
        <w:rPr>
          <w:rFonts w:hint="default" w:ascii="Times New Roman" w:hAnsi="Times New Roman" w:eastAsia="宋体" w:cs="Times New Roman"/>
          <w:b/>
          <w:color w:val="000000"/>
          <w:sz w:val="32"/>
          <w:szCs w:val="32"/>
          <w:lang w:eastAsia="zh-CN"/>
        </w:rPr>
        <w:t>亮度检测器</w:t>
      </w:r>
      <w:r>
        <w:rPr>
          <w:rFonts w:hint="default" w:ascii="Times New Roman" w:hAnsi="Times New Roman" w:eastAsia="宋体" w:cs="Times New Roman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</w:t>
      </w:r>
      <w:bookmarkStart w:id="10" w:name="_GoBack"/>
      <w:bookmarkEnd w:id="10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埔高速公路一期工程机电工程（SG09合同段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eastAsia="zh-CN"/>
              </w:rPr>
              <w:t>设备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804-2-6-1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洞外亮度检测器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804-2-6-2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洞内亮度检测器（含安装支架、设备机箱）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包括运输、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最高限价：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lang w:val="en-US" w:eastAsia="zh-CN"/>
        </w:rPr>
        <w:t>11550.00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技术要求</w:t>
      </w:r>
    </w:p>
    <w:p>
      <w:pPr>
        <w:pStyle w:val="5"/>
        <w:numPr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bookmarkStart w:id="0" w:name="_Toc31595"/>
      <w:bookmarkStart w:id="1" w:name="_Toc97395694"/>
      <w:bookmarkStart w:id="2" w:name="_Toc501786582"/>
      <w:bookmarkStart w:id="3" w:name="_Toc421"/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804-2-6-1 洞外亮度检测器</w:t>
      </w:r>
      <w:bookmarkEnd w:id="0"/>
      <w:bookmarkEnd w:id="1"/>
      <w:bookmarkEnd w:id="2"/>
    </w:p>
    <w:p>
      <w:pPr>
        <w:shd w:val="clear" w:color="auto" w:fill="FFFFFF"/>
        <w:spacing w:line="240" w:lineRule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隧道外亮度检测器设置在隧道洞外，与隧道内亮度检测器成对使用，各模块技术要求如下：</w:t>
      </w:r>
    </w:p>
    <w:p>
      <w:pPr>
        <w:shd w:val="clear" w:color="auto" w:fill="FFFFFF"/>
        <w:spacing w:line="240" w:lineRule="auto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（1）隧道外亮度检测器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测量范围：0～7000cd/m2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测量精度：±1cd/m2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探测镜头立体视角≥20°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调试端口：RS232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信号输出：</w:t>
      </w:r>
    </w:p>
    <w:p>
      <w:pPr>
        <w:shd w:val="clear" w:color="auto" w:fill="FFFFFF"/>
        <w:spacing w:line="240" w:lineRule="auto"/>
        <w:ind w:left="480" w:firstLine="36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模拟量输出：4～20mA</w:t>
      </w:r>
    </w:p>
    <w:p>
      <w:pPr>
        <w:shd w:val="clear" w:color="auto" w:fill="FFFFFF"/>
        <w:spacing w:line="240" w:lineRule="auto"/>
        <w:ind w:left="480" w:firstLine="36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数字量输出：24VDC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具备本地数据存储功能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防护等级：IP65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工作寿命：≥50000h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工作温度：-10℃～+55℃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工作湿度：10%～95%</w:t>
      </w:r>
    </w:p>
    <w:p>
      <w:pPr>
        <w:shd w:val="clear" w:color="auto" w:fill="FFFFFF"/>
        <w:spacing w:line="240" w:lineRule="auto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（2）防护罩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云台安装。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配备雨刷、风扇、加热器/除霜器。</w:t>
      </w:r>
    </w:p>
    <w:p>
      <w:pPr>
        <w:shd w:val="clear" w:color="auto" w:fill="FFFFFF"/>
        <w:spacing w:line="240" w:lineRule="auto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（3）电源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根据实际采购设备功率和电源要求，为亮度检测器配置功率合适的直流电源。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输入电压：220VAC±22。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输出电压：12/24 VDC或VAC，根据设备选配。</w:t>
      </w:r>
    </w:p>
    <w:p>
      <w:pPr>
        <w:shd w:val="clear" w:color="auto" w:fill="FFFFFF"/>
        <w:spacing w:line="240" w:lineRule="auto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（4）立柱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镀锌钢管，Φ203×10mm，安装后保证亮度检测器距路面高度不小于3.5m。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立柱结构中所有钢构件都应采用热浸镀锌处理，镀锌量为600g/m2。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立柱结构中所有构件尺寸均应根据实际采购设备尺寸、重量及实际安装形式等，按照当地最大风速参数，重新进行结构安全的验算。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设计图纸中与其他设备共用安装立柱的亮度检测器，应取消本立柱工程量。</w:t>
      </w:r>
    </w:p>
    <w:p>
      <w:pPr>
        <w:shd w:val="clear" w:color="auto" w:fill="FFFFFF"/>
        <w:spacing w:line="240" w:lineRule="auto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（5）基础及接地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0.8×0.5×1.0m基础，1.0×0.7×0.1m垫层。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监控外场设备采用TT接地方式，防雷接地和保护接地分开设置，相距大于20米，接地线引出点尽量远离，防雷接地电阻不大于10欧姆，保护接地电阻不大于4欧姆。如采用联合接地，接地电阻不大于1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sym w:font="Symbol" w:char="F057"/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设计图纸中与其他设备共用安装立柱、基础和接地系统的亮度检测器，应取消本基础和接地的工程量。</w:t>
      </w:r>
    </w:p>
    <w:p>
      <w:pPr>
        <w:shd w:val="clear" w:color="auto" w:fill="FFFFFF"/>
        <w:spacing w:line="240" w:lineRule="auto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（6）施工要求</w:t>
      </w:r>
    </w:p>
    <w:p>
      <w:pPr>
        <w:shd w:val="clear" w:color="auto" w:fill="FFFFFF"/>
        <w:spacing w:line="240" w:lineRule="auto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隧道外亮度检测器采用立柱式安装，安装高度3.5m，具体施工要求如下：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按照产品清单，核查产品组件是否完整。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检查设备的完好程度，并检测摄像机各部件的电子、机械性能。如设备不完整，或有物理性损坏，或不能通过自检，应重新采购设备。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安装检测器、防护罩等，检测组装成的亮度检测器各项机械和电气指标是否正常。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安装亮度检测器、电源及防雷等装置，并连接电力和通信线缆。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在本地初始化设备，粗测采集信号各项指标，达到系统要求参数为止。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紧固亮度检测器各部件，将其数据端口接入端子排。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设备具有自检、故障自动报警功能。</w:t>
      </w:r>
    </w:p>
    <w:p>
      <w:pPr>
        <w:pStyle w:val="5"/>
        <w:spacing w:line="240" w:lineRule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bookmarkStart w:id="4" w:name="_Toc97395695"/>
      <w:bookmarkStart w:id="5" w:name="_Toc501786583"/>
      <w:bookmarkStart w:id="6" w:name="_Toc19670"/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 xml:space="preserve">804-2-6-2 </w:t>
      </w:r>
      <w:bookmarkEnd w:id="4"/>
      <w:bookmarkEnd w:id="5"/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洞内亮度检测器（含安装支架、设备机箱）</w:t>
      </w:r>
      <w:bookmarkEnd w:id="6"/>
    </w:p>
    <w:p>
      <w:pPr>
        <w:shd w:val="clear" w:color="auto" w:fill="FFFFFF"/>
        <w:spacing w:line="240" w:lineRule="auto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（1）隧道内亮度检测器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测量范围：0～500cd/m2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测量精度：±0.1cd/m2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探测镜头立体视角≥20°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调试端口：RS232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信号输出：</w:t>
      </w:r>
    </w:p>
    <w:p>
      <w:pPr>
        <w:shd w:val="clear" w:color="auto" w:fill="FFFFFF"/>
        <w:spacing w:line="240" w:lineRule="auto"/>
        <w:ind w:left="480" w:firstLine="36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模拟量输出：4～20mA</w:t>
      </w:r>
    </w:p>
    <w:p>
      <w:pPr>
        <w:shd w:val="clear" w:color="auto" w:fill="FFFFFF"/>
        <w:spacing w:line="240" w:lineRule="auto"/>
        <w:ind w:left="480" w:firstLine="36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数字量输出：24VDC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具备本地数据存储功能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防护等级：IP65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工作寿命：≥50000h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工作温度：-10℃～+55℃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工作湿度：10%～95%</w:t>
      </w:r>
    </w:p>
    <w:p>
      <w:pPr>
        <w:shd w:val="clear" w:color="auto" w:fill="FFFFFF"/>
        <w:spacing w:line="240" w:lineRule="auto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（2）防护罩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云台安装。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配备风扇。</w:t>
      </w:r>
    </w:p>
    <w:p>
      <w:pPr>
        <w:shd w:val="clear" w:color="auto" w:fill="FFFFFF"/>
        <w:spacing w:line="240" w:lineRule="auto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（3）机箱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机箱为全天候防风雨型，防护等级IP65，机箱所有进出线孔均应做密封、防水处理。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机箱采用镀锌钢板制作，机箱所有钢构件采用热镀锌处理，镀锌量不小于600g/m2。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机箱内空间可放置所需的19”机架、接线架、电源、防雷设备、加热及排风设备等。根据实际采购设备，设计机箱内部布局，必要时可对机箱尺寸进行一定的调整，但不得突破隧道壁上预留槽尺寸。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机箱内配置电源插座。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机箱门开启时，应有自动锁定装置；机箱门关闭时应密封并锁定。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若机箱内设备本身芯片达不到项目地区工作温度要求时，机箱设计应考虑双层机箱或加顶盖增加空气对流等措施，以降低机箱内温度；冬季达不到温度要求时应有加热装置。</w:t>
      </w:r>
    </w:p>
    <w:p>
      <w:pPr>
        <w:shd w:val="clear" w:color="auto" w:fill="FFFFFF"/>
        <w:spacing w:line="240" w:lineRule="auto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（4）电源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根据实际采购设备功率和电源要求，为亮度检测器配置功率合适的直流电源。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输入电压：220VAC±22。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输出电压：12/24 VDC或VAC，根据设备选配。</w:t>
      </w:r>
    </w:p>
    <w:p>
      <w:pPr>
        <w:shd w:val="clear" w:color="auto" w:fill="FFFFFF"/>
        <w:spacing w:line="240" w:lineRule="auto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（5）支架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最大负重根据实际采购设备选定。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采用膨胀螺栓将支架固定在隧道壁上。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要求设置垂直、水平角度调节机构。</w:t>
      </w:r>
    </w:p>
    <w:p>
      <w:pPr>
        <w:shd w:val="clear" w:color="auto" w:fill="FFFFFF"/>
        <w:spacing w:line="240" w:lineRule="auto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（6）施工要求</w:t>
      </w:r>
    </w:p>
    <w:p>
      <w:pPr>
        <w:shd w:val="clear" w:color="auto" w:fill="FFFFFF"/>
        <w:spacing w:line="240" w:lineRule="auto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隧道内亮度检测器采用隧道壁支架安装，安装高度详见招标图纸，设备各部件不得侵入隧道内行车限界，具体施工要求如下：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按照产品清单，核查产品组件是否完整。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检查设备的完好程度，并检测探测器的电子、机械性能。如设备不完整，或有物理性损坏，或有电气损坏，应重新采购设备。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检查隧道壁预埋接线盒和管道是否满足设备接线要求。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检查接地阻值是否满足设备防雷接地需求，如不满足，应对接地进行调整。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根据隧道安装位置和高度要求，用膨胀螺栓将安装支架固定在隧道闭上。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安装隧道内亮度检测器、防护罩等，检测组装成的亮度检测器各项机械和电气指标是否正常。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将亮度检测器固定在支架上，并调节检测器对准角度。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安装机箱、电源及防雷等装置，并连接电力和通信线缆。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在本地初始化设备，粗测采集信号各项指标，达到系统要求参数为止。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b/>
          <w:snapToGrid w:val="0"/>
          <w:kern w:val="0"/>
          <w:szCs w:val="21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紧固亮度检测器各部件，将其数据端口接入端子排。</w:t>
      </w:r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  <w:lang w:val="en-US" w:eastAsia="zh-CN"/>
        </w:rPr>
        <w:t>04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</w:rPr>
        <w:t>月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  <w:lang w:val="en-US" w:eastAsia="zh-CN"/>
        </w:rPr>
        <w:t xml:space="preserve">20 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</w:rPr>
        <w:t>之前发送至采购人邮箱：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1204355776@qq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</w:pPr>
      <w:bookmarkStart w:id="7" w:name="_Toc332793818"/>
      <w:bookmarkStart w:id="8" w:name="_Toc332965960"/>
      <w:bookmarkStart w:id="9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联系方式</w:t>
      </w:r>
      <w:bookmarkEnd w:id="7"/>
      <w:bookmarkEnd w:id="8"/>
      <w:bookmarkEnd w:id="9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联  系  人：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电      话：020-39185740</w:t>
      </w:r>
    </w:p>
    <w:p>
      <w:pPr>
        <w:pStyle w:val="2"/>
        <w:rPr>
          <w:rFonts w:hint="default"/>
        </w:rPr>
      </w:pP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 xml:space="preserve">                                              2023年</w:t>
      </w:r>
      <w: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  <w:t>04</w:t>
      </w:r>
      <w:r>
        <w:rPr>
          <w:rFonts w:hint="default" w:ascii="Times New Roman" w:hAnsi="Times New Roman" w:eastAsia="宋体" w:cs="Times New Roman"/>
          <w:color w:val="000000"/>
          <w:sz w:val="24"/>
        </w:rPr>
        <w:t>月</w:t>
      </w:r>
      <w: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  <w:t xml:space="preserve"> 19</w:t>
      </w:r>
      <w:r>
        <w:rPr>
          <w:rFonts w:hint="default" w:ascii="Times New Roman" w:hAnsi="Times New Roman" w:eastAsia="宋体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eastAsia="宋体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4C61694A"/>
    <w:multiLevelType w:val="multilevel"/>
    <w:tmpl w:val="4C61694A"/>
    <w:lvl w:ilvl="0" w:tentative="0">
      <w:start w:val="1"/>
      <w:numFmt w:val="bullet"/>
      <w:lvlText w:val="-"/>
      <w:lvlJc w:val="left"/>
      <w:pPr>
        <w:ind w:left="839" w:firstLine="1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ind w:left="16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1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5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9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20" w:hanging="420"/>
      </w:pPr>
      <w:rPr>
        <w:rFonts w:hint="default" w:ascii="Wingdings" w:hAnsi="Wingdings"/>
      </w:rPr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6E6314C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35E6014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BF1F4D"/>
    <w:rsid w:val="52ED4007"/>
    <w:rsid w:val="54210D44"/>
    <w:rsid w:val="560F1B9D"/>
    <w:rsid w:val="57BF2D4E"/>
    <w:rsid w:val="58B74CBC"/>
    <w:rsid w:val="5B2814D9"/>
    <w:rsid w:val="5E8E770E"/>
    <w:rsid w:val="5F087C2D"/>
    <w:rsid w:val="61147E15"/>
    <w:rsid w:val="623B7383"/>
    <w:rsid w:val="63166D1A"/>
    <w:rsid w:val="639432EC"/>
    <w:rsid w:val="65922BE0"/>
    <w:rsid w:val="67B11F6C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AB074F6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uiPriority w:val="0"/>
    <w:rPr>
      <w:kern w:val="2"/>
      <w:sz w:val="18"/>
      <w:szCs w:val="18"/>
    </w:rPr>
  </w:style>
  <w:style w:type="character" w:customStyle="1" w:styleId="40">
    <w:name w:val="font41"/>
    <w:basedOn w:val="14"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1">
    <w:name w:val="font31"/>
    <w:basedOn w:val="14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2107</Words>
  <Characters>2380</Characters>
  <Lines>61</Lines>
  <Paragraphs>17</Paragraphs>
  <TotalTime>9</TotalTime>
  <ScaleCrop>false</ScaleCrop>
  <LinksUpToDate>false</LinksUpToDate>
  <CharactersWithSpaces>2516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2023-04-19T02:08:24Z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