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</w:rPr>
        <w:t>广东省高速公路有限公司司属营运路段2022年机电养护工程（JD3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）</w:t>
      </w:r>
      <w:r>
        <w:rPr>
          <w:rFonts w:hint="eastAsia" w:eastAsia="仿宋_GB2312"/>
          <w:b/>
          <w:color w:val="000000"/>
          <w:sz w:val="32"/>
          <w:szCs w:val="32"/>
          <w:lang w:val="en-US" w:eastAsia="zh-CN"/>
        </w:rPr>
        <w:t>车道收费软件及设备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广东省高速公路有限公司司属营运路段2022年机电养护工程（JD3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2"/>
        <w:tblW w:w="826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2"/>
        <w:gridCol w:w="2425"/>
        <w:gridCol w:w="1197"/>
        <w:gridCol w:w="714"/>
        <w:gridCol w:w="729"/>
        <w:gridCol w:w="19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0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42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72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802-3-11</w:t>
            </w:r>
          </w:p>
        </w:tc>
        <w:tc>
          <w:tcPr>
            <w:tcW w:w="24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MTC/ETC车道软件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72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JD3-1乐广高速公路南段收费系统更新改造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802-3-12</w:t>
            </w:r>
          </w:p>
        </w:tc>
        <w:tc>
          <w:tcPr>
            <w:tcW w:w="24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接入、调试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72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1995" w:type="dxa"/>
            <w:vMerge w:val="continue"/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802-1-37</w:t>
            </w:r>
          </w:p>
        </w:tc>
        <w:tc>
          <w:tcPr>
            <w:tcW w:w="24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新增视频点的联网接入及调试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72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JD3-3乐广高速公路南段监控系统更新改造工程量清单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803-1-10</w:t>
            </w:r>
          </w:p>
        </w:tc>
        <w:tc>
          <w:tcPr>
            <w:tcW w:w="24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视频控制平台与监视墙的联合调试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72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JD3-5乐广高速公路北段监控中心大屏更新改造工程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804-1-3</w:t>
            </w:r>
          </w:p>
        </w:tc>
        <w:tc>
          <w:tcPr>
            <w:tcW w:w="24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MTC/ETC混合车道软件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72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JD3-6京珠北高速收费站新增入口拒超系统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804-1-4</w:t>
            </w:r>
          </w:p>
        </w:tc>
        <w:tc>
          <w:tcPr>
            <w:tcW w:w="24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系统接入及调试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72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1995" w:type="dxa"/>
            <w:vMerge w:val="continue"/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803-3-3</w:t>
            </w:r>
          </w:p>
        </w:tc>
        <w:tc>
          <w:tcPr>
            <w:tcW w:w="24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MTC/ETC混合车道软件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72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JD3-7乐广高速公路北段收费站新增入口拒超系统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803-3-4</w:t>
            </w:r>
          </w:p>
        </w:tc>
        <w:tc>
          <w:tcPr>
            <w:tcW w:w="24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系统接入及调试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72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1995" w:type="dxa"/>
            <w:vMerge w:val="continue"/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806-1-33</w:t>
            </w:r>
          </w:p>
        </w:tc>
        <w:tc>
          <w:tcPr>
            <w:tcW w:w="24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隧道综合监控平台二次开发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72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JD3-8广惠高速萝峰隧道消防管道及青山隧道火灾报警升级改造工程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806-2-13</w:t>
            </w:r>
          </w:p>
        </w:tc>
        <w:tc>
          <w:tcPr>
            <w:tcW w:w="24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监控中心隧道软件扩容及调试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72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995" w:type="dxa"/>
            <w:vMerge w:val="continue"/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804-1-13</w:t>
            </w:r>
          </w:p>
        </w:tc>
        <w:tc>
          <w:tcPr>
            <w:tcW w:w="24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监控中心隧道软件扩容及调试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72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JD3-9广惠高速公路萝峰隧道火灾报警改造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802-2-10</w:t>
            </w:r>
          </w:p>
        </w:tc>
        <w:tc>
          <w:tcPr>
            <w:tcW w:w="24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专用ETC车道软件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72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JD3-11广惠高速博罗收费站增设潮汐车道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802-1-17</w:t>
            </w:r>
          </w:p>
        </w:tc>
        <w:tc>
          <w:tcPr>
            <w:tcW w:w="24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无感支付扫码终端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72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JD3-12广惠高速乌塘收费站扩建车道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802-1-18</w:t>
            </w:r>
          </w:p>
        </w:tc>
        <w:tc>
          <w:tcPr>
            <w:tcW w:w="24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移动收费终端（含PSAM卡）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72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995" w:type="dxa"/>
            <w:vMerge w:val="continue"/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802-3-2</w:t>
            </w:r>
          </w:p>
        </w:tc>
        <w:tc>
          <w:tcPr>
            <w:tcW w:w="24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混合ETC/MTC车道软件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72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995" w:type="dxa"/>
            <w:vMerge w:val="continue"/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802-3-3</w:t>
            </w:r>
          </w:p>
        </w:tc>
        <w:tc>
          <w:tcPr>
            <w:tcW w:w="24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联网收费站站软件扩容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72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995" w:type="dxa"/>
            <w:vMerge w:val="continue"/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802-5-23</w:t>
            </w:r>
          </w:p>
        </w:tc>
        <w:tc>
          <w:tcPr>
            <w:tcW w:w="24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系统调试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72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995" w:type="dxa"/>
            <w:vMerge w:val="continue"/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包括运输、安装调试费、保险费、税费、试运行及缺陷的维护等一切费用；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color w:val="FF0000"/>
          <w:kern w:val="0"/>
          <w:sz w:val="24"/>
          <w:lang w:val="en-US" w:eastAsia="zh-CN"/>
        </w:rPr>
        <w:t>722855</w:t>
      </w:r>
      <w:r>
        <w:rPr>
          <w:bCs/>
          <w:snapToGrid w:val="0"/>
          <w:color w:val="FF0000"/>
          <w:kern w:val="0"/>
          <w:sz w:val="24"/>
        </w:rPr>
        <w:t>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技术要求</w:t>
      </w:r>
    </w:p>
    <w:p>
      <w:pPr>
        <w:numPr>
          <w:ilvl w:val="0"/>
          <w:numId w:val="0"/>
        </w:numPr>
        <w:wordWrap w:val="0"/>
        <w:topLinePunct/>
        <w:spacing w:line="360" w:lineRule="auto"/>
        <w:ind w:firstLine="420" w:firstLineChars="0"/>
        <w:rPr>
          <w:rFonts w:hint="eastAsia"/>
          <w:bCs/>
          <w:snapToGrid w:val="0"/>
          <w:kern w:val="0"/>
          <w:sz w:val="24"/>
          <w:lang w:eastAsia="zh-CN"/>
        </w:rPr>
      </w:pPr>
      <w:r>
        <w:rPr>
          <w:rFonts w:hint="eastAsia" w:hAnsiTheme="minorEastAsia" w:eastAsiaTheme="minorEastAsia"/>
          <w:b/>
          <w:bCs/>
          <w:szCs w:val="21"/>
          <w:lang w:val="en-US" w:eastAsia="zh-CN"/>
        </w:rPr>
        <w:t>MTC/ETC车道软件：</w:t>
      </w:r>
      <w:r>
        <w:rPr>
          <w:rFonts w:hint="eastAsia"/>
          <w:bCs/>
          <w:snapToGrid w:val="0"/>
          <w:kern w:val="0"/>
          <w:sz w:val="24"/>
        </w:rPr>
        <w:t>满足双天线车道布局</w:t>
      </w:r>
      <w:r>
        <w:rPr>
          <w:rFonts w:hint="eastAsia"/>
          <w:bCs/>
          <w:snapToGrid w:val="0"/>
          <w:kern w:val="0"/>
          <w:sz w:val="24"/>
          <w:lang w:eastAsia="zh-CN"/>
        </w:rPr>
        <w:t>。</w:t>
      </w:r>
    </w:p>
    <w:p>
      <w:pPr>
        <w:numPr>
          <w:ilvl w:val="0"/>
          <w:numId w:val="0"/>
        </w:numPr>
        <w:wordWrap w:val="0"/>
        <w:topLinePunct/>
        <w:spacing w:line="360" w:lineRule="auto"/>
        <w:ind w:firstLine="420" w:firstLineChars="0"/>
        <w:rPr>
          <w:rFonts w:hint="eastAsia"/>
          <w:bCs/>
          <w:snapToGrid w:val="0"/>
          <w:kern w:val="0"/>
          <w:sz w:val="24"/>
          <w:lang w:eastAsia="zh-CN"/>
        </w:rPr>
      </w:pPr>
      <w:r>
        <w:rPr>
          <w:rFonts w:hint="eastAsia" w:hAnsiTheme="minorEastAsia" w:eastAsiaTheme="minorEastAsia"/>
          <w:b/>
          <w:bCs/>
          <w:szCs w:val="21"/>
          <w:lang w:val="en-US" w:eastAsia="zh-CN"/>
        </w:rPr>
        <w:t>接入、调试：</w:t>
      </w:r>
      <w:r>
        <w:rPr>
          <w:rFonts w:hint="eastAsia"/>
          <w:bCs/>
          <w:snapToGrid w:val="0"/>
          <w:kern w:val="0"/>
          <w:sz w:val="24"/>
          <w:lang w:eastAsia="zh-CN"/>
        </w:rPr>
        <w:t>满足本项目所有入口拒超车道称重设备改造需求，包含路段中心、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ab/>
      </w:r>
      <w:r>
        <w:rPr>
          <w:rFonts w:hint="eastAsia"/>
          <w:bCs/>
          <w:snapToGrid w:val="0"/>
          <w:kern w:val="0"/>
          <w:sz w:val="24"/>
          <w:lang w:val="en-US" w:eastAsia="zh-CN"/>
        </w:rPr>
        <w:tab/>
      </w:r>
      <w:r>
        <w:rPr>
          <w:rFonts w:hint="eastAsia"/>
          <w:bCs/>
          <w:snapToGrid w:val="0"/>
          <w:kern w:val="0"/>
          <w:sz w:val="24"/>
          <w:lang w:val="en-US" w:eastAsia="zh-CN"/>
        </w:rPr>
        <w:tab/>
      </w:r>
      <w:r>
        <w:rPr>
          <w:rFonts w:hint="eastAsia"/>
          <w:bCs/>
          <w:snapToGrid w:val="0"/>
          <w:kern w:val="0"/>
          <w:sz w:val="24"/>
          <w:lang w:val="en-US" w:eastAsia="zh-CN"/>
        </w:rPr>
        <w:t xml:space="preserve">   </w:t>
      </w:r>
      <w:r>
        <w:rPr>
          <w:rFonts w:hint="eastAsia"/>
          <w:bCs/>
          <w:snapToGrid w:val="0"/>
          <w:kern w:val="0"/>
          <w:sz w:val="24"/>
          <w:lang w:eastAsia="zh-CN"/>
        </w:rPr>
        <w:t>站级软件升级，含软件安装调试、系统联调等，满足新增称重设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ab/>
      </w:r>
      <w:r>
        <w:rPr>
          <w:rFonts w:hint="eastAsia"/>
          <w:bCs/>
          <w:snapToGrid w:val="0"/>
          <w:kern w:val="0"/>
          <w:sz w:val="24"/>
          <w:lang w:val="en-US" w:eastAsia="zh-CN"/>
        </w:rPr>
        <w:tab/>
      </w:r>
      <w:r>
        <w:rPr>
          <w:rFonts w:hint="eastAsia"/>
          <w:bCs/>
          <w:snapToGrid w:val="0"/>
          <w:kern w:val="0"/>
          <w:sz w:val="24"/>
          <w:lang w:val="en-US" w:eastAsia="zh-CN"/>
        </w:rPr>
        <w:tab/>
      </w:r>
      <w:r>
        <w:rPr>
          <w:rFonts w:hint="eastAsia"/>
          <w:bCs/>
          <w:snapToGrid w:val="0"/>
          <w:kern w:val="0"/>
          <w:sz w:val="24"/>
          <w:lang w:val="en-US" w:eastAsia="zh-CN"/>
        </w:rPr>
        <w:t xml:space="preserve">   </w:t>
      </w:r>
      <w:r>
        <w:rPr>
          <w:rFonts w:hint="eastAsia"/>
          <w:bCs/>
          <w:snapToGrid w:val="0"/>
          <w:kern w:val="0"/>
          <w:sz w:val="24"/>
          <w:lang w:eastAsia="zh-CN"/>
        </w:rPr>
        <w:t>备接入收费系统要求等</w:t>
      </w:r>
    </w:p>
    <w:p>
      <w:pPr>
        <w:numPr>
          <w:ilvl w:val="0"/>
          <w:numId w:val="0"/>
        </w:numPr>
        <w:wordWrap w:val="0"/>
        <w:topLinePunct/>
        <w:spacing w:line="360" w:lineRule="auto"/>
        <w:ind w:left="1685" w:leftChars="200" w:hanging="1265" w:hangingChars="600"/>
        <w:rPr>
          <w:rFonts w:hint="eastAsia"/>
          <w:bCs/>
          <w:snapToGrid w:val="0"/>
          <w:kern w:val="0"/>
          <w:sz w:val="24"/>
          <w:lang w:eastAsia="zh-CN"/>
        </w:rPr>
      </w:pPr>
      <w:r>
        <w:rPr>
          <w:rFonts w:hint="eastAsia" w:hAnsiTheme="minorEastAsia" w:eastAsiaTheme="minorEastAsia"/>
          <w:b/>
          <w:bCs/>
          <w:szCs w:val="21"/>
          <w:lang w:val="en-US" w:eastAsia="zh-CN"/>
        </w:rPr>
        <w:t>隧道综合监控平台二次开发：</w:t>
      </w:r>
      <w:r>
        <w:rPr>
          <w:rFonts w:hint="eastAsia"/>
          <w:bCs/>
          <w:snapToGrid w:val="0"/>
          <w:kern w:val="0"/>
          <w:sz w:val="24"/>
          <w:lang w:eastAsia="zh-CN"/>
        </w:rPr>
        <w:t>集成车行横洞卷帘门远控、消防水泵远程监测及控制功能</w:t>
      </w:r>
    </w:p>
    <w:p>
      <w:pPr>
        <w:numPr>
          <w:ilvl w:val="0"/>
          <w:numId w:val="0"/>
        </w:numPr>
        <w:wordWrap w:val="0"/>
        <w:topLinePunct/>
        <w:spacing w:line="360" w:lineRule="auto"/>
        <w:ind w:left="1685" w:leftChars="200" w:hanging="1265" w:hangingChars="600"/>
        <w:rPr>
          <w:rFonts w:hint="eastAsia"/>
          <w:bCs/>
          <w:snapToGrid w:val="0"/>
          <w:kern w:val="0"/>
          <w:sz w:val="24"/>
          <w:lang w:eastAsia="zh-CN"/>
        </w:rPr>
      </w:pPr>
      <w:r>
        <w:rPr>
          <w:rFonts w:hint="eastAsia" w:hAnsiTheme="minorEastAsia" w:eastAsiaTheme="minorEastAsia"/>
          <w:b/>
          <w:bCs/>
          <w:szCs w:val="21"/>
          <w:lang w:val="en-US" w:eastAsia="zh-CN"/>
        </w:rPr>
        <w:t>监控中心隧道软件扩容及调试：</w:t>
      </w:r>
      <w:r>
        <w:rPr>
          <w:rFonts w:hint="eastAsia"/>
          <w:bCs/>
          <w:snapToGrid w:val="0"/>
          <w:kern w:val="0"/>
          <w:sz w:val="24"/>
          <w:lang w:eastAsia="zh-CN"/>
        </w:rPr>
        <w:t>对软件进行扩容，满足火灾联动要求。包括液位计数据接入监控一体化平台，增加显示水位高度、水位告警功能以及后台日志等功能。</w:t>
      </w:r>
    </w:p>
    <w:p>
      <w:pPr>
        <w:numPr>
          <w:ilvl w:val="0"/>
          <w:numId w:val="0"/>
        </w:numPr>
        <w:wordWrap w:val="0"/>
        <w:topLinePunct/>
        <w:spacing w:line="360" w:lineRule="auto"/>
        <w:ind w:left="1685" w:leftChars="200" w:hanging="1265" w:hangingChars="600"/>
        <w:rPr>
          <w:rFonts w:hint="eastAsia"/>
          <w:bCs/>
          <w:snapToGrid w:val="0"/>
          <w:kern w:val="0"/>
          <w:sz w:val="24"/>
          <w:lang w:eastAsia="zh-CN"/>
        </w:rPr>
      </w:pPr>
      <w:r>
        <w:rPr>
          <w:rFonts w:hint="eastAsia" w:hAnsiTheme="minorEastAsia" w:eastAsiaTheme="minorEastAsia"/>
          <w:b/>
          <w:bCs/>
          <w:szCs w:val="21"/>
          <w:lang w:val="en-US" w:eastAsia="zh-CN"/>
        </w:rPr>
        <w:t>监控中心隧道软件扩容：</w:t>
      </w:r>
      <w:r>
        <w:rPr>
          <w:rFonts w:hint="eastAsia"/>
          <w:bCs/>
          <w:snapToGrid w:val="0"/>
          <w:kern w:val="0"/>
          <w:sz w:val="24"/>
          <w:lang w:eastAsia="zh-CN"/>
        </w:rPr>
        <w:t>对软件进行扩容，满足火灾联动要求。包括液位计数据接入监控一体化平台，增加显示水位高度、水位告警功能以及后台日志等功能。</w:t>
      </w:r>
    </w:p>
    <w:p>
      <w:pPr>
        <w:numPr>
          <w:ilvl w:val="0"/>
          <w:numId w:val="0"/>
        </w:numPr>
        <w:wordWrap w:val="0"/>
        <w:topLinePunct/>
        <w:spacing w:line="360" w:lineRule="auto"/>
        <w:ind w:left="1685" w:leftChars="200" w:hanging="1265" w:hangingChars="600"/>
        <w:rPr>
          <w:rFonts w:hint="eastAsia" w:hAnsiTheme="minorEastAsia" w:eastAsiaTheme="minorEastAsia"/>
          <w:b/>
          <w:bCs/>
          <w:szCs w:val="21"/>
          <w:lang w:val="en-US" w:eastAsia="zh-CN"/>
        </w:rPr>
      </w:pPr>
      <w:r>
        <w:rPr>
          <w:rFonts w:hint="eastAsia" w:hAnsiTheme="minorEastAsia" w:eastAsiaTheme="minorEastAsia"/>
          <w:b/>
          <w:bCs/>
          <w:szCs w:val="21"/>
          <w:lang w:val="en-US" w:eastAsia="zh-CN"/>
        </w:rPr>
        <w:t>无感支付扫码终端：</w:t>
      </w:r>
    </w:p>
    <w:p>
      <w:pPr>
        <w:numPr>
          <w:ilvl w:val="0"/>
          <w:numId w:val="0"/>
        </w:numPr>
        <w:wordWrap w:val="0"/>
        <w:topLinePunct/>
        <w:spacing w:line="360" w:lineRule="auto"/>
        <w:ind w:left="420" w:leftChars="200" w:firstLine="420" w:firstLineChars="0"/>
        <w:rPr>
          <w:rFonts w:hint="eastAsia"/>
          <w:bCs/>
          <w:snapToGrid w:val="0"/>
          <w:kern w:val="0"/>
          <w:sz w:val="24"/>
          <w:lang w:eastAsia="zh-CN"/>
        </w:rPr>
      </w:pPr>
      <w:r>
        <w:rPr>
          <w:rFonts w:hint="eastAsia"/>
          <w:bCs/>
          <w:snapToGrid w:val="0"/>
          <w:kern w:val="0"/>
          <w:sz w:val="24"/>
          <w:lang w:eastAsia="zh-CN"/>
        </w:rPr>
        <w:t>设置于收费亭侧壁，支付终端接入亭内数据网络工业交换机传输至收费站。在出口车道完成通行费计算后，车道软件生成支付申请。用户可通过手机内移动支付软件生成授权二维码。码支付终端读取授权二维码后，向第三方支付平台发送支付申请，进入支付流程。确认支付成功后，自动抬杆放行；扫码支付终端与车道计算机采用RS232接口连接，传输通行费数据及支付确认信息； 功能丰富、使用便利快捷、设施界面美观醒目。系统软件应具备平滑升级实现今后的移动支付。移动支付受理终端应通过交通运输部的CMA、3C-MRA、CNAS等认证，并通过联合电服公司的软件功能测试；二维扫码设备：二维最小模块尺寸为1.905mm；二维码识读范围：10～150cm；识读区域：不小于30×30cm(扫码距离为 60cm 时)；屏幕显示设备满足强阳光直射下的工作环境；采用多扫码元件阵列；扫描速度：&lt;100ms；通讯接口：RS232、4G、WIFI、以太网；MTBF时间：≥15000 小时；防护等级：IP66；工作环境温度： -10℃~+55℃；相对湿度： 10%~90%（非冷凝）；供电电源：交流220V±10% （50Hz）；使用功率：小于100W；含扫码枪；支持持粤通宝、微信、支付宝、银联等支付功能，未来可平滑升级其他主流支付形式；包含与计算机连接的串口控制电缆及供电电缆，内置或自带电源适配器；配套的驱动程序或支持即插即用。</w:t>
      </w:r>
    </w:p>
    <w:p>
      <w:pPr>
        <w:numPr>
          <w:ilvl w:val="0"/>
          <w:numId w:val="0"/>
        </w:numPr>
        <w:wordWrap w:val="0"/>
        <w:topLinePunct/>
        <w:spacing w:line="360" w:lineRule="auto"/>
        <w:ind w:left="1685" w:leftChars="200" w:hanging="1265" w:hangingChars="600"/>
        <w:rPr>
          <w:rFonts w:hint="eastAsia" w:hAnsiTheme="minorEastAsia" w:eastAsiaTheme="minorEastAsia"/>
          <w:b/>
          <w:bCs/>
          <w:szCs w:val="21"/>
          <w:lang w:val="en-US" w:eastAsia="zh-CN"/>
        </w:rPr>
      </w:pPr>
      <w:r>
        <w:rPr>
          <w:rFonts w:hint="eastAsia" w:hAnsiTheme="minorEastAsia" w:eastAsiaTheme="minorEastAsia"/>
          <w:b/>
          <w:bCs/>
          <w:szCs w:val="21"/>
          <w:lang w:val="en-US" w:eastAsia="zh-CN"/>
        </w:rPr>
        <w:t>移动收费终端（含PSAM卡）：</w:t>
      </w:r>
    </w:p>
    <w:p>
      <w:pPr>
        <w:numPr>
          <w:ilvl w:val="0"/>
          <w:numId w:val="0"/>
        </w:numPr>
        <w:wordWrap w:val="0"/>
        <w:topLinePunct/>
        <w:spacing w:line="360" w:lineRule="auto"/>
        <w:ind w:left="420" w:leftChars="200" w:firstLine="420" w:firstLineChars="0"/>
        <w:rPr>
          <w:rFonts w:hint="eastAsia"/>
          <w:bCs/>
          <w:snapToGrid w:val="0"/>
          <w:kern w:val="0"/>
          <w:sz w:val="24"/>
          <w:lang w:eastAsia="zh-CN"/>
        </w:rPr>
      </w:pPr>
      <w:r>
        <w:rPr>
          <w:rFonts w:hint="eastAsia"/>
          <w:bCs/>
          <w:snapToGrid w:val="0"/>
          <w:kern w:val="0"/>
          <w:sz w:val="24"/>
          <w:lang w:eastAsia="zh-CN"/>
        </w:rPr>
        <w:t>终端适用于处理收费站的收费、车道控制、收费特情、稽核等业务；提供入口发CPC卡、出口CPC交易、入口OBU交易、出口OBU交易、车道控制、收费特情处理、追缴名单查询等功能；移动车道终端采用“终端﹢后台”的模式，它由平板、终端APP、接口服务、车道服务四部分组成，终端APP使用4G/WIFI与接口服务进行通信； 终端采用安卓系统； CPU：8核； 内存：≥8GB；硬盘：≥64GB； 支持GPS、BD、GLONASS等多种定位方式； 不少于8寸IPS高亮屏，支持多点触控； 支持13.56MHz、5.8GHz微波通信，内置PSAM接口； 电池容量不少于5100mAh；支持2米防摔； 防护等级：IP65； 工作温度范围：-40℃～﹢55℃； 平均故障间隔（MTBF）：≥5万小时。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6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04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07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gzlhr2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163</w:t>
      </w:r>
      <w:bookmarkStart w:id="3" w:name="_GoBack"/>
      <w:bookmarkEnd w:id="3"/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eastAsia="zh-CN"/>
        </w:rPr>
        <w:t>廖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04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06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4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8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4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5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3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0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1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2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7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29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5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6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622CB2"/>
    <w:rsid w:val="072D08E0"/>
    <w:rsid w:val="08EE3671"/>
    <w:rsid w:val="0A69025B"/>
    <w:rsid w:val="0DA26991"/>
    <w:rsid w:val="0ECB4993"/>
    <w:rsid w:val="112A7044"/>
    <w:rsid w:val="12ED5CBA"/>
    <w:rsid w:val="14C447F8"/>
    <w:rsid w:val="18606150"/>
    <w:rsid w:val="19B32EC3"/>
    <w:rsid w:val="1A786886"/>
    <w:rsid w:val="1D5379E4"/>
    <w:rsid w:val="1DC008E5"/>
    <w:rsid w:val="1F3E25C9"/>
    <w:rsid w:val="1F8905C9"/>
    <w:rsid w:val="20205D7D"/>
    <w:rsid w:val="2039362C"/>
    <w:rsid w:val="20FA36FF"/>
    <w:rsid w:val="24875F4B"/>
    <w:rsid w:val="28126A09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4403FA4"/>
    <w:rsid w:val="34DB5F68"/>
    <w:rsid w:val="35912415"/>
    <w:rsid w:val="38A511DA"/>
    <w:rsid w:val="3A7D6982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34B112E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E8E770E"/>
    <w:rsid w:val="623B7383"/>
    <w:rsid w:val="63166D1A"/>
    <w:rsid w:val="65922BE0"/>
    <w:rsid w:val="66E856F1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E2018B"/>
    <w:rsid w:val="79ED32F6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6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7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8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19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8"/>
    <w:qFormat/>
    <w:uiPriority w:val="0"/>
    <w:rPr>
      <w:sz w:val="18"/>
      <w:szCs w:val="18"/>
    </w:rPr>
  </w:style>
  <w:style w:type="paragraph" w:styleId="10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4">
    <w:name w:val="页眉 Char"/>
    <w:basedOn w:val="13"/>
    <w:link w:val="11"/>
    <w:qFormat/>
    <w:uiPriority w:val="0"/>
    <w:rPr>
      <w:kern w:val="2"/>
      <w:sz w:val="18"/>
      <w:szCs w:val="18"/>
    </w:rPr>
  </w:style>
  <w:style w:type="character" w:customStyle="1" w:styleId="15">
    <w:name w:val="页脚 Char"/>
    <w:basedOn w:val="13"/>
    <w:link w:val="10"/>
    <w:qFormat/>
    <w:uiPriority w:val="0"/>
    <w:rPr>
      <w:kern w:val="2"/>
      <w:sz w:val="18"/>
      <w:szCs w:val="18"/>
    </w:rPr>
  </w:style>
  <w:style w:type="character" w:customStyle="1" w:styleId="16">
    <w:name w:val="标题 2 Char"/>
    <w:basedOn w:val="13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7">
    <w:name w:val="标题 3 Char"/>
    <w:basedOn w:val="13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8">
    <w:name w:val="标题 4 Char"/>
    <w:basedOn w:val="13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19">
    <w:name w:val="标题 5 Char"/>
    <w:basedOn w:val="13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0">
    <w:name w:val="List Paragraph"/>
    <w:basedOn w:val="1"/>
    <w:link w:val="2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1">
    <w:name w:val="列出段落 Char"/>
    <w:link w:val="20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Item Step in table Char Char"/>
    <w:link w:val="23"/>
    <w:qFormat/>
    <w:uiPriority w:val="0"/>
    <w:rPr>
      <w:rFonts w:cs="Arial"/>
      <w:bCs/>
      <w:szCs w:val="28"/>
    </w:rPr>
  </w:style>
  <w:style w:type="paragraph" w:customStyle="1" w:styleId="23">
    <w:name w:val="Item Step in table"/>
    <w:basedOn w:val="5"/>
    <w:link w:val="22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4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5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6">
    <w:name w:val="Table Text Char"/>
    <w:link w:val="27"/>
    <w:qFormat/>
    <w:uiPriority w:val="0"/>
    <w:rPr>
      <w:rFonts w:cs="Arial"/>
      <w:szCs w:val="21"/>
    </w:rPr>
  </w:style>
  <w:style w:type="paragraph" w:customStyle="1" w:styleId="27">
    <w:name w:val="Table Text"/>
    <w:basedOn w:val="1"/>
    <w:link w:val="26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8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29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0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1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2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4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5">
    <w:name w:val="Notes Text Step"/>
    <w:basedOn w:val="29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6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7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8">
    <w:name w:val="批注框文本 Char"/>
    <w:basedOn w:val="13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794</Words>
  <Characters>1027</Characters>
  <Lines>61</Lines>
  <Paragraphs>17</Paragraphs>
  <TotalTime>3</TotalTime>
  <ScaleCrop>false</ScaleCrop>
  <LinksUpToDate>false</LinksUpToDate>
  <CharactersWithSpaces>1096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2023-04-06T02:37:38Z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B75484C30A0D48A998196F431A9A3E69</vt:lpwstr>
  </property>
</Properties>
</file>