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</w:rPr>
        <w:t>广东省高速公路有限公司司属营运路段2022年机电养护工程（JD3</w:t>
      </w: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  <w:lang w:eastAsia="zh-CN"/>
        </w:rPr>
        <w:t>）</w:t>
      </w: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治超一体化摄像机及车牌识别</w:t>
      </w: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</w:rPr>
        <w:t>设备</w:t>
      </w: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</w:rPr>
        <w:t>采购意向征集公告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1.1项目名称：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</w:rPr>
        <w:t>广东省高速公路有限公司司属营运路段2022年机电养护工程（JD3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lang w:eastAsia="zh-CN"/>
        </w:rPr>
        <w:t>）</w:t>
      </w:r>
    </w:p>
    <w:p>
      <w:p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1.2项目地点：</w:t>
      </w:r>
      <w:r>
        <w:rPr>
          <w:rFonts w:hint="eastAsia"/>
          <w:bCs/>
          <w:snapToGrid w:val="0"/>
          <w:kern w:val="0"/>
          <w:sz w:val="24"/>
        </w:rPr>
        <w:t>广州</w:t>
      </w:r>
      <w:r>
        <w:rPr>
          <w:bCs/>
          <w:snapToGrid w:val="0"/>
          <w:kern w:val="0"/>
          <w:sz w:val="24"/>
        </w:rPr>
        <w:t>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</w:rPr>
      </w:pPr>
      <w:r>
        <w:rPr>
          <w:b/>
          <w:snapToGrid w:val="0"/>
          <w:kern w:val="0"/>
          <w:sz w:val="24"/>
        </w:rPr>
        <w:t>具体工程量清单</w:t>
      </w:r>
    </w:p>
    <w:tbl>
      <w:tblPr>
        <w:tblStyle w:val="12"/>
        <w:tblW w:w="91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1"/>
        <w:gridCol w:w="2625"/>
        <w:gridCol w:w="1515"/>
        <w:gridCol w:w="705"/>
        <w:gridCol w:w="780"/>
        <w:gridCol w:w="23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11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序号</w:t>
            </w:r>
          </w:p>
        </w:tc>
        <w:tc>
          <w:tcPr>
            <w:tcW w:w="262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材料名称</w:t>
            </w:r>
          </w:p>
        </w:tc>
        <w:tc>
          <w:tcPr>
            <w:tcW w:w="151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品牌/型号</w:t>
            </w: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单位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数量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111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804-1-11</w:t>
            </w:r>
          </w:p>
        </w:tc>
        <w:tc>
          <w:tcPr>
            <w:tcW w:w="262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车牌识别系统（含补光灯、闪光灯）</w:t>
            </w:r>
          </w:p>
        </w:tc>
        <w:tc>
          <w:tcPr>
            <w:tcW w:w="151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台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2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111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803-3-11</w:t>
            </w:r>
          </w:p>
        </w:tc>
        <w:tc>
          <w:tcPr>
            <w:tcW w:w="262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车牌识别系统（含补光灯、闪光灯）</w:t>
            </w:r>
          </w:p>
        </w:tc>
        <w:tc>
          <w:tcPr>
            <w:tcW w:w="151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台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3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111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802-2-5</w:t>
            </w:r>
          </w:p>
        </w:tc>
        <w:tc>
          <w:tcPr>
            <w:tcW w:w="262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高清车牌自动识别仪</w:t>
            </w:r>
          </w:p>
        </w:tc>
        <w:tc>
          <w:tcPr>
            <w:tcW w:w="151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套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111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802-2-2</w:t>
            </w:r>
          </w:p>
        </w:tc>
        <w:tc>
          <w:tcPr>
            <w:tcW w:w="262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高清车牌识别系统</w:t>
            </w:r>
          </w:p>
        </w:tc>
        <w:tc>
          <w:tcPr>
            <w:tcW w:w="151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套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111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802-3-7</w:t>
            </w:r>
          </w:p>
        </w:tc>
        <w:tc>
          <w:tcPr>
            <w:tcW w:w="262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治超一体化摄像机</w:t>
            </w:r>
          </w:p>
        </w:tc>
        <w:tc>
          <w:tcPr>
            <w:tcW w:w="151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台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3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111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802-3-8</w:t>
            </w:r>
          </w:p>
        </w:tc>
        <w:tc>
          <w:tcPr>
            <w:tcW w:w="262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治超一体化摄像机立柱</w:t>
            </w:r>
          </w:p>
        </w:tc>
        <w:tc>
          <w:tcPr>
            <w:tcW w:w="151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根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3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111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804-1-1</w:t>
            </w:r>
          </w:p>
        </w:tc>
        <w:tc>
          <w:tcPr>
            <w:tcW w:w="262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治超一体化摄像机</w:t>
            </w:r>
          </w:p>
        </w:tc>
        <w:tc>
          <w:tcPr>
            <w:tcW w:w="151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套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2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111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804-1-2</w:t>
            </w:r>
          </w:p>
        </w:tc>
        <w:tc>
          <w:tcPr>
            <w:tcW w:w="262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治超一体化摄像机立柱</w:t>
            </w:r>
          </w:p>
        </w:tc>
        <w:tc>
          <w:tcPr>
            <w:tcW w:w="151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根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2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111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803-3-1</w:t>
            </w:r>
          </w:p>
        </w:tc>
        <w:tc>
          <w:tcPr>
            <w:tcW w:w="262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治超一体化摄像机</w:t>
            </w:r>
          </w:p>
        </w:tc>
        <w:tc>
          <w:tcPr>
            <w:tcW w:w="151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套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3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111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803-3-2</w:t>
            </w:r>
          </w:p>
        </w:tc>
        <w:tc>
          <w:tcPr>
            <w:tcW w:w="262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治超一体化摄像机立柱</w:t>
            </w:r>
          </w:p>
        </w:tc>
        <w:tc>
          <w:tcPr>
            <w:tcW w:w="151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</w:p>
        </w:tc>
        <w:tc>
          <w:tcPr>
            <w:tcW w:w="705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根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3</w:t>
            </w:r>
          </w:p>
        </w:tc>
        <w:tc>
          <w:tcPr>
            <w:tcW w:w="2369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清单说明：</w:t>
      </w:r>
    </w:p>
    <w:p>
      <w:pPr>
        <w:numPr>
          <w:ilvl w:val="0"/>
          <w:numId w:val="4"/>
        </w:num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包括运输、安装调试费、保险费、税费、试运行及缺陷的维护等一切费用；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质保期：两年；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最高限价：</w:t>
      </w:r>
      <w:r>
        <w:rPr>
          <w:rFonts w:hint="eastAsia"/>
          <w:bCs/>
          <w:snapToGrid w:val="0"/>
          <w:kern w:val="0"/>
          <w:sz w:val="24"/>
          <w:lang w:val="en-US" w:eastAsia="zh-CN"/>
        </w:rPr>
        <w:t>174770.00</w:t>
      </w:r>
      <w:r>
        <w:rPr>
          <w:bCs/>
          <w:snapToGrid w:val="0"/>
          <w:kern w:val="0"/>
          <w:sz w:val="24"/>
        </w:rPr>
        <w:t>元。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技术要求</w:t>
      </w:r>
    </w:p>
    <w:p>
      <w:pPr>
        <w:wordWrap w:val="0"/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  <w:lang w:val="en-US" w:eastAsia="zh-CN"/>
        </w:rPr>
        <w:t>3.1、</w:t>
      </w:r>
      <w:r>
        <w:rPr>
          <w:rFonts w:hint="eastAsia"/>
          <w:szCs w:val="21"/>
        </w:rPr>
        <w:t>车牌识别系统（含补光灯、闪光灯）</w:t>
      </w:r>
      <w:r>
        <w:rPr>
          <w:rFonts w:hint="eastAsia"/>
          <w:szCs w:val="21"/>
          <w:lang w:eastAsia="zh-CN"/>
        </w:rPr>
        <w:t>：</w:t>
      </w:r>
      <w:r>
        <w:rPr>
          <w:rFonts w:hint="eastAsia"/>
          <w:szCs w:val="21"/>
        </w:rPr>
        <w:t xml:space="preserve"> 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全天候车牌识别正确率：≥98%；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识别速度＜0.2s；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支持视频、线圈、雷达触发等多种触发方式；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视频编码：H.264， H.265，MJPEG，图像编码：JPEG；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成像器件：≥1/1.8inch 逐行扫描 CMOS 或CCD 图像传感器；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有效画面像素≥300万；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前端SD 存储≥64GB；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具备OSD 功能，视频能叠加时间、车牌、车道号等各种动态信息字符；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支持无存储卡报警、 IP 冲突报警、设备温度过高报警（温度报警阀值可设置）；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支持交通信号灯故障报警，当接收通过RS485 接入的信号灯检测器发送的故障报警时，可在设备IE 界面进行展示。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MTBF：≥30,000h；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工作环境温度：-40℃～70℃；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工作环境湿度：0-95%；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电源：50HZ，AC24V/220V；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防护等级：IP66。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eastAsiaTheme="minorEastAsia"/>
          <w:b/>
          <w:snapToGrid w:val="0"/>
          <w:kern w:val="0"/>
          <w:szCs w:val="21"/>
        </w:rPr>
      </w:pP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val="en-US" w:eastAsia="zh-CN"/>
        </w:rPr>
        <w:t>3.2、</w:t>
      </w:r>
      <w:r>
        <w:rPr>
          <w:rFonts w:hint="eastAsia"/>
          <w:szCs w:val="21"/>
          <w:lang w:eastAsia="zh-CN"/>
        </w:rPr>
        <w:t>高清车牌自动识别仪：</w:t>
      </w: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 车牌自动识别设备应符合 JT/T 604 的要求，采用高清车牌识别一体机，能自动识别“GA36-92”(92 式牌照)、“GA36.1-2001”（02 式牌照）标准民用车牌照、04式军用、新武警、港澳式等各种格式汽车号牌；</w:t>
      </w: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 全天候车牌识别正确率：≥98%；</w:t>
      </w: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 识别速度＜0.2s；</w:t>
      </w: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 支持视频、线圈触发等多种触发方式；</w:t>
      </w: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 视频编码：H.264，MJPEG，图像编码：JPEG；</w:t>
      </w: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 成像器件：≥1/3inch 逐行扫描 CMOS 或 CCD 图像传感器；</w:t>
      </w: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 有效画面像素≥300 万；</w:t>
      </w: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 前端 SD 存储≥64GB；</w:t>
      </w: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 具备 OSD 功能，视频能叠加时间、车牌、车道号等各种动态信息字符；</w:t>
      </w: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 全天候室外型防护罩；</w:t>
      </w: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 MTBF：≥30,000h；</w:t>
      </w: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 工作环境温度：-40℃～70℃；</w:t>
      </w: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 工作环境湿度：0-95%；</w:t>
      </w: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 电源：50HZ，AC24V/220V；</w:t>
      </w: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 防护等级：IP66；</w:t>
      </w: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 含立柱及基础。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eastAsiaTheme="minorEastAsia"/>
          <w:b/>
          <w:snapToGrid w:val="0"/>
          <w:kern w:val="0"/>
          <w:szCs w:val="21"/>
        </w:rPr>
      </w:pP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val="en-US" w:eastAsia="zh-CN"/>
        </w:rPr>
        <w:t>3.3、</w:t>
      </w:r>
      <w:r>
        <w:rPr>
          <w:rFonts w:hint="eastAsia"/>
          <w:szCs w:val="21"/>
          <w:lang w:eastAsia="zh-CN"/>
        </w:rPr>
        <w:t>高清车牌识别系统：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应满足交通运输部《取消高速公路省界收费站总体技术方案》、《取消高速公路省界收费站工程建设方案》、《高速公路ETC门架系统技术要求》的规定；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全天候车牌识别正确率：≥98%；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成像器件：≥300万像素CMOS图像传感器，靶面尺寸不小于1/1.8英寸；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接口：2个RJ45以太网口；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 xml:space="preserve">应在通信中断时，具备图片保存功能，待通信恢复时自动上传。 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可识别新能源车牌、军警车牌、港澳两地车牌等；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 xml:space="preserve">触发模式：视频触发或线圈触发全天候室外型防护罩； 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MTBF：≥30,000h；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工作环境温度：-20℃～+70℃；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工作环境湿度：20% ～ 95%（相对湿度）；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电源：50HZ，AC24V/220V；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防护等级：IP66。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eastAsiaTheme="minorEastAsia"/>
          <w:b/>
          <w:snapToGrid w:val="0"/>
          <w:kern w:val="0"/>
          <w:szCs w:val="21"/>
        </w:rPr>
      </w:pPr>
    </w:p>
    <w:p>
      <w:pPr>
        <w:wordWrap w:val="0"/>
        <w:spacing w:line="360" w:lineRule="auto"/>
        <w:rPr>
          <w:rFonts w:hint="default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3.4、治超一体化摄像机：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满足《高速公路称重检测业务规范和技术要求》。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一体机像素：≥900万像素；防护等级：IP66；图片分辨率：前、后、侧摄像机抓拍图片分辨率不小于300万像素；录像：180°全景录像大于5秒（分辨率大于2K）；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本地存储：≥8G，内存：≥4G。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CPU：1）处理器内核（多核）：双核 ARM Cortex A73@1.8GHz，32KB I-Cache，64KB D- Cache/512KB L2 cache；双核 ARM Cortex A53@1.2GHz，32KB I-Cache， 32KB D-Cache/256KB L2 cache；单核 ARM Cortex A53@1.2GHz，32KB I-Cache，32KB D-Cache/128KB L2 cache；支持 Neon 加速，集成 FPU 处理单元。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val="en-US" w:eastAsia="zh-CN"/>
        </w:rPr>
        <w:t>2）</w:t>
      </w:r>
      <w:r>
        <w:rPr>
          <w:rFonts w:hint="eastAsia"/>
          <w:szCs w:val="21"/>
          <w:lang w:eastAsia="zh-CN"/>
        </w:rPr>
        <w:t>GPU：双核 ARM Mali G71@900MHz，256KB cache；支持 Open CL 1.1/1.2/2.0；支持 Open GL ES 3.0/3.1/3.2。3)智能视频处理：提供视觉计算处理能力；四核 DSP@700MHz，32K I-Cache /32K IRAM/512KBDRAM；双核 NNIE@840MHz神经网络加速引擎；内置双目深度检测单元功能参数；日间车辆号牌识别准确率应不小于95％，夜间车辆号牌识别准确率应不小于90％；日间车辆号牌颜色识别准确率应不小于90％,夜间车辆号牌颜色识别准确率应不小于80％；未悬挂号牌的识别率应不小于80％；输出信息（SDK）：车头车侧车尾拼接的全景高清车辆视频、车头大图、车尾大图、车侧全景图、车头及车尾车牌号码和颜色及全景视频录像。含补光灯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eastAsiaTheme="minorEastAsia"/>
          <w:b/>
          <w:snapToGrid w:val="0"/>
          <w:kern w:val="0"/>
          <w:szCs w:val="21"/>
        </w:rPr>
      </w:pPr>
    </w:p>
    <w:p>
      <w:pPr>
        <w:wordWrap w:val="0"/>
        <w:spacing w:line="360" w:lineRule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3.5、治超一体化摄像机立柱</w:t>
      </w:r>
    </w:p>
    <w:p>
      <w:pPr>
        <w:tabs>
          <w:tab w:val="left" w:pos="312"/>
        </w:tabs>
        <w:topLinePunct/>
        <w:spacing w:line="360" w:lineRule="auto"/>
        <w:ind w:firstLine="420" w:firstLineChars="200"/>
        <w:outlineLvl w:val="1"/>
        <w:rPr>
          <w:rFonts w:eastAsiaTheme="minorEastAsia"/>
          <w:b/>
          <w:snapToGrid w:val="0"/>
          <w:kern w:val="0"/>
          <w:szCs w:val="21"/>
        </w:rPr>
      </w:pPr>
      <w:r>
        <w:rPr>
          <w:rFonts w:hint="eastAsia"/>
          <w:szCs w:val="21"/>
          <w:lang w:eastAsia="zh-CN"/>
        </w:rPr>
        <w:t>六边形80*1440mm-1640mm(根据现场调整)，含法兰盘，膨胀螺丝，垫圈等。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供应商资格条件</w:t>
      </w:r>
    </w:p>
    <w:p>
      <w:pPr>
        <w:pStyle w:val="6"/>
        <w:ind w:firstLine="480"/>
      </w:pPr>
      <w:r>
        <w:rPr>
          <w:sz w:val="24"/>
        </w:rPr>
        <w:t>信用信誉良好，所供设备符合本工程量清单设备技术要求。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响应回执的递交</w:t>
      </w:r>
    </w:p>
    <w:p>
      <w:pPr>
        <w:spacing w:line="360" w:lineRule="auto"/>
        <w:ind w:firstLine="480" w:firstLineChars="200"/>
        <w:rPr>
          <w:snapToGrid w:val="0"/>
          <w:color w:val="000000"/>
          <w:kern w:val="0"/>
          <w:sz w:val="24"/>
        </w:rPr>
      </w:pPr>
      <w:r>
        <w:rPr>
          <w:sz w:val="24"/>
        </w:rPr>
        <w:t>凡有意参加本次采购且具备履行本项目能力的供应商，请</w:t>
      </w:r>
      <w:r>
        <w:rPr>
          <w:color w:val="000000"/>
          <w:sz w:val="24"/>
        </w:rPr>
        <w:t>将附于本公告后的响应回执在</w:t>
      </w:r>
      <w:r>
        <w:rPr>
          <w:color w:val="000000"/>
          <w:sz w:val="24"/>
          <w:u w:val="single"/>
        </w:rPr>
        <w:t>2023年</w:t>
      </w:r>
      <w:r>
        <w:rPr>
          <w:rFonts w:hint="eastAsia"/>
          <w:color w:val="000000"/>
          <w:sz w:val="24"/>
          <w:u w:val="single"/>
          <w:lang w:val="en-US" w:eastAsia="zh-CN"/>
        </w:rPr>
        <w:t xml:space="preserve"> 3 </w:t>
      </w:r>
      <w:r>
        <w:rPr>
          <w:color w:val="000000"/>
          <w:sz w:val="24"/>
          <w:u w:val="single"/>
        </w:rPr>
        <w:t>月</w:t>
      </w:r>
      <w:r>
        <w:rPr>
          <w:rFonts w:hint="eastAsia"/>
          <w:color w:val="000000"/>
          <w:sz w:val="24"/>
          <w:u w:val="single"/>
          <w:lang w:val="en-US" w:eastAsia="zh-CN"/>
        </w:rPr>
        <w:t xml:space="preserve"> 10 </w:t>
      </w:r>
      <w:r>
        <w:rPr>
          <w:color w:val="000000"/>
          <w:sz w:val="24"/>
          <w:u w:val="single"/>
        </w:rPr>
        <w:t>日</w:t>
      </w:r>
      <w:r>
        <w:rPr>
          <w:rFonts w:hint="eastAsia"/>
          <w:color w:val="000000"/>
          <w:sz w:val="24"/>
          <w:u w:val="single"/>
          <w:lang w:val="en-US" w:eastAsia="zh-CN"/>
        </w:rPr>
        <w:t>00</w:t>
      </w:r>
      <w:r>
        <w:rPr>
          <w:color w:val="000000"/>
          <w:sz w:val="24"/>
          <w:u w:val="single"/>
        </w:rPr>
        <w:t>：00</w:t>
      </w:r>
      <w:r>
        <w:rPr>
          <w:color w:val="000000"/>
          <w:sz w:val="24"/>
        </w:rPr>
        <w:t>之前发送至采购人邮箱：</w:t>
      </w:r>
      <w:r>
        <w:rPr>
          <w:rFonts w:hint="eastAsia"/>
          <w:color w:val="000000"/>
          <w:sz w:val="24"/>
          <w:lang w:val="en-US" w:eastAsia="zh-CN"/>
        </w:rPr>
        <w:t>1376039885</w:t>
      </w:r>
      <w:r>
        <w:rPr>
          <w:snapToGrid w:val="0"/>
          <w:color w:val="000000"/>
          <w:kern w:val="0"/>
          <w:sz w:val="24"/>
        </w:rPr>
        <w:t>@qq.com，逾期无效。采购人在收到响应回执后根据供应商信用信誉等情况进行讨论提议，按优先选取本公司库内供应商原则开展后续采购活动，不再另行发布采购公告。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bookmarkStart w:id="0" w:name="_Toc332965960"/>
      <w:bookmarkStart w:id="1" w:name="_Toc332793818"/>
      <w:bookmarkStart w:id="2" w:name="_Toc332793891"/>
      <w:r>
        <w:rPr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采购人：广东诚泰交通科技发展有限公司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采购人地址：广州市番禺区洛浦街道北环路87号道路研究院二号楼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联  系  人：</w:t>
      </w:r>
      <w:r>
        <w:rPr>
          <w:rFonts w:hint="eastAsia"/>
          <w:color w:val="000000"/>
          <w:sz w:val="24"/>
          <w:lang w:val="en-US" w:eastAsia="zh-CN"/>
        </w:rPr>
        <w:t>李</w:t>
      </w:r>
      <w:r>
        <w:rPr>
          <w:color w:val="000000"/>
          <w:sz w:val="24"/>
        </w:rPr>
        <w:t>工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电      话：020-39185740</w:t>
      </w:r>
    </w:p>
    <w:p>
      <w:pPr>
        <w:topLinePunct/>
        <w:spacing w:line="360" w:lineRule="auto"/>
        <w:jc w:val="right"/>
        <w:rPr>
          <w:color w:val="000000"/>
          <w:sz w:val="24"/>
        </w:rPr>
      </w:pPr>
      <w:r>
        <w:rPr>
          <w:color w:val="000000"/>
          <w:sz w:val="24"/>
        </w:rPr>
        <w:t>广东诚泰交通科技发展有限公司</w:t>
      </w:r>
    </w:p>
    <w:p>
      <w:pPr>
        <w:topLinePunct/>
        <w:spacing w:line="360" w:lineRule="auto"/>
        <w:jc w:val="center"/>
      </w:pPr>
      <w:r>
        <w:rPr>
          <w:color w:val="000000"/>
          <w:sz w:val="24"/>
        </w:rPr>
        <w:t xml:space="preserve">                                              2023年</w:t>
      </w:r>
      <w:r>
        <w:rPr>
          <w:rFonts w:hint="eastAsia"/>
          <w:color w:val="000000"/>
          <w:sz w:val="24"/>
          <w:lang w:val="en-US" w:eastAsia="zh-CN"/>
        </w:rPr>
        <w:t>03</w:t>
      </w:r>
      <w:r>
        <w:rPr>
          <w:color w:val="000000"/>
          <w:sz w:val="24"/>
        </w:rPr>
        <w:t>月</w:t>
      </w:r>
      <w:r>
        <w:rPr>
          <w:rFonts w:hint="eastAsia"/>
          <w:color w:val="000000"/>
          <w:sz w:val="24"/>
          <w:lang w:val="en-US" w:eastAsia="zh-CN"/>
        </w:rPr>
        <w:t>08</w:t>
      </w:r>
      <w:r>
        <w:rPr>
          <w:color w:val="000000"/>
          <w:sz w:val="24"/>
        </w:rPr>
        <w:t>日</w:t>
      </w:r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171657A1"/>
    <w:multiLevelType w:val="multilevel"/>
    <w:tmpl w:val="171657A1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 w:tentative="0">
      <w:start w:val="1"/>
      <w:numFmt w:val="decimal"/>
      <w:pStyle w:val="2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pStyle w:val="3"/>
      <w:suff w:val="nothing"/>
      <w:lvlText w:val="%1.%2.%3 "/>
      <w:lvlJc w:val="left"/>
      <w:pPr>
        <w:ind w:left="142" w:firstLine="0"/>
      </w:pPr>
    </w:lvl>
    <w:lvl w:ilvl="3" w:tentative="0">
      <w:start w:val="1"/>
      <w:numFmt w:val="decimal"/>
      <w:lvlRestart w:val="1"/>
      <w:pStyle w:val="4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 w:tentative="0">
      <w:start w:val="1"/>
      <w:numFmt w:val="decimal"/>
      <w:lvlRestart w:val="1"/>
      <w:pStyle w:val="5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 w:tentative="0">
      <w:start w:val="1"/>
      <w:numFmt w:val="none"/>
      <w:pStyle w:val="24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 w:tentative="0">
      <w:start w:val="1"/>
      <w:numFmt w:val="decimal"/>
      <w:pStyle w:val="28"/>
      <w:lvlText w:val="步骤 %7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34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 w:tentative="0">
      <w:start w:val="1"/>
      <w:numFmt w:val="decimal"/>
      <w:lvlRestart w:val="1"/>
      <w:pStyle w:val="25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/>
        <w:b w:val="0"/>
        <w:bCs/>
        <w:i w:val="0"/>
        <w:iCs w:val="0"/>
        <w:color w:val="auto"/>
        <w:sz w:val="21"/>
        <w:szCs w:val="21"/>
      </w:rPr>
    </w:lvl>
  </w:abstractNum>
  <w:abstractNum w:abstractNumId="3">
    <w:nsid w:val="6E230785"/>
    <w:multiLevelType w:val="multilevel"/>
    <w:tmpl w:val="6E230785"/>
    <w:lvl w:ilvl="0" w:tentative="0">
      <w:start w:val="1"/>
      <w:numFmt w:val="bullet"/>
      <w:pStyle w:val="33"/>
      <w:lvlText w:val=""/>
      <w:lvlJc w:val="left"/>
      <w:pPr>
        <w:tabs>
          <w:tab w:val="left" w:pos="170"/>
        </w:tabs>
        <w:ind w:left="170" w:hanging="170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lowerLetter"/>
      <w:pStyle w:val="30"/>
      <w:lvlText w:val="%2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2" w:tentative="0">
      <w:start w:val="1"/>
      <w:numFmt w:val="bullet"/>
      <w:pStyle w:val="31"/>
      <w:lvlText w:val="−"/>
      <w:lvlJc w:val="left"/>
      <w:pPr>
        <w:tabs>
          <w:tab w:val="left" w:pos="568"/>
        </w:tabs>
        <w:ind w:left="568" w:hanging="284"/>
      </w:pPr>
      <w:rPr>
        <w:rFonts w:hint="default" w:ascii="Times New Roman" w:hAnsi="Times New Roman" w:cs="Times New Roman"/>
        <w:sz w:val="16"/>
        <w:szCs w:val="16"/>
      </w:rPr>
    </w:lvl>
    <w:lvl w:ilvl="3" w:tentative="0">
      <w:start w:val="1"/>
      <w:numFmt w:val="decimal"/>
      <w:pStyle w:val="32"/>
      <w:lvlText w:val="%4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4" w:tentative="0">
      <w:start w:val="1"/>
      <w:numFmt w:val="bullet"/>
      <w:pStyle w:val="37"/>
      <w:lvlText w:val=""/>
      <w:lvlJc w:val="left"/>
      <w:pPr>
        <w:tabs>
          <w:tab w:val="left" w:pos="568"/>
        </w:tabs>
        <w:ind w:left="568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5" w:tentative="0">
      <w:start w:val="1"/>
      <w:numFmt w:val="decimal"/>
      <w:pStyle w:val="29"/>
      <w:lvlText w:val="%6."/>
      <w:lvlJc w:val="left"/>
      <w:pPr>
        <w:tabs>
          <w:tab w:val="left" w:pos="1985"/>
        </w:tabs>
        <w:ind w:left="1985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21"/>
        <w:szCs w:val="21"/>
      </w:rPr>
    </w:lvl>
    <w:lvl w:ilvl="6" w:tentative="0">
      <w:start w:val="1"/>
      <w:numFmt w:val="decimal"/>
      <w:pStyle w:val="35"/>
      <w:lvlText w:val="%7."/>
      <w:lvlJc w:val="left"/>
      <w:pPr>
        <w:tabs>
          <w:tab w:val="left" w:pos="2359"/>
        </w:tabs>
        <w:ind w:left="2359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7" w:tentative="0">
      <w:start w:val="1"/>
      <w:numFmt w:val="decimal"/>
      <w:pStyle w:val="36"/>
      <w:lvlText w:val="%8."/>
      <w:lvlJc w:val="left"/>
      <w:pPr>
        <w:tabs>
          <w:tab w:val="left" w:pos="454"/>
        </w:tabs>
        <w:ind w:left="454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WZkOTkzOGFkNGEzMDNjMmUwMmNjNzM0N2MyZjUwMDQifQ=="/>
  </w:docVars>
  <w:rsids>
    <w:rsidRoot w:val="00172A27"/>
    <w:rsid w:val="00123FE3"/>
    <w:rsid w:val="001301C5"/>
    <w:rsid w:val="00172A27"/>
    <w:rsid w:val="00477707"/>
    <w:rsid w:val="005603E4"/>
    <w:rsid w:val="00791D96"/>
    <w:rsid w:val="009A3C9A"/>
    <w:rsid w:val="00C424AD"/>
    <w:rsid w:val="00CC1A2E"/>
    <w:rsid w:val="00ED32E4"/>
    <w:rsid w:val="00EE2011"/>
    <w:rsid w:val="00FA736A"/>
    <w:rsid w:val="00FC4153"/>
    <w:rsid w:val="00FD7ED5"/>
    <w:rsid w:val="02040FDF"/>
    <w:rsid w:val="03393105"/>
    <w:rsid w:val="046E3765"/>
    <w:rsid w:val="06622CB2"/>
    <w:rsid w:val="072D08E0"/>
    <w:rsid w:val="08EE3671"/>
    <w:rsid w:val="0A69025B"/>
    <w:rsid w:val="0DA26991"/>
    <w:rsid w:val="0ECB4993"/>
    <w:rsid w:val="112A7044"/>
    <w:rsid w:val="12ED5CBA"/>
    <w:rsid w:val="14C447F8"/>
    <w:rsid w:val="18606150"/>
    <w:rsid w:val="19B32EC3"/>
    <w:rsid w:val="1A786886"/>
    <w:rsid w:val="1D5379E4"/>
    <w:rsid w:val="1DC008E5"/>
    <w:rsid w:val="1F3E25C9"/>
    <w:rsid w:val="1F8905C9"/>
    <w:rsid w:val="20205D7D"/>
    <w:rsid w:val="2039362C"/>
    <w:rsid w:val="24875F4B"/>
    <w:rsid w:val="28126A09"/>
    <w:rsid w:val="2A6117E0"/>
    <w:rsid w:val="2A9C2048"/>
    <w:rsid w:val="2B975488"/>
    <w:rsid w:val="2BB05A29"/>
    <w:rsid w:val="2BBE1469"/>
    <w:rsid w:val="2D393A69"/>
    <w:rsid w:val="2E0860D1"/>
    <w:rsid w:val="2E5A20BA"/>
    <w:rsid w:val="2ECB5FE2"/>
    <w:rsid w:val="34403FA4"/>
    <w:rsid w:val="34DB5F68"/>
    <w:rsid w:val="35912415"/>
    <w:rsid w:val="38A511DA"/>
    <w:rsid w:val="3A7D6982"/>
    <w:rsid w:val="3C047712"/>
    <w:rsid w:val="3DD1395F"/>
    <w:rsid w:val="3E8C010F"/>
    <w:rsid w:val="3EFD65C9"/>
    <w:rsid w:val="400E2C48"/>
    <w:rsid w:val="403A795B"/>
    <w:rsid w:val="4044389B"/>
    <w:rsid w:val="40C03B09"/>
    <w:rsid w:val="42100EF9"/>
    <w:rsid w:val="434B112E"/>
    <w:rsid w:val="46C97C03"/>
    <w:rsid w:val="472B5FAC"/>
    <w:rsid w:val="48AD79E8"/>
    <w:rsid w:val="48F03340"/>
    <w:rsid w:val="4908486B"/>
    <w:rsid w:val="49DC5C4D"/>
    <w:rsid w:val="4A44006F"/>
    <w:rsid w:val="4BFB311F"/>
    <w:rsid w:val="4DA31AFF"/>
    <w:rsid w:val="4DB34E2F"/>
    <w:rsid w:val="50DE6FEF"/>
    <w:rsid w:val="515756D7"/>
    <w:rsid w:val="52871060"/>
    <w:rsid w:val="52ED4007"/>
    <w:rsid w:val="54210D44"/>
    <w:rsid w:val="560F1B9D"/>
    <w:rsid w:val="57BF2D4E"/>
    <w:rsid w:val="58B74CBC"/>
    <w:rsid w:val="598A3C77"/>
    <w:rsid w:val="5B2814D9"/>
    <w:rsid w:val="5E8E770E"/>
    <w:rsid w:val="623B7383"/>
    <w:rsid w:val="63166D1A"/>
    <w:rsid w:val="65922BE0"/>
    <w:rsid w:val="6AC87D14"/>
    <w:rsid w:val="6C083654"/>
    <w:rsid w:val="6C094604"/>
    <w:rsid w:val="6C751B3B"/>
    <w:rsid w:val="6E354925"/>
    <w:rsid w:val="6E4A295F"/>
    <w:rsid w:val="710B2708"/>
    <w:rsid w:val="724471CD"/>
    <w:rsid w:val="74963E13"/>
    <w:rsid w:val="7553467E"/>
    <w:rsid w:val="760D37CC"/>
    <w:rsid w:val="79870010"/>
    <w:rsid w:val="79E2018B"/>
    <w:rsid w:val="7C7F737F"/>
    <w:rsid w:val="7DD345AE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link w:val="16"/>
    <w:qFormat/>
    <w:uiPriority w:val="0"/>
    <w:pPr>
      <w:keepNext/>
      <w:keepLines/>
      <w:widowControl/>
      <w:numPr>
        <w:ilvl w:val="1"/>
        <w:numId w:val="1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hint="eastAsia" w:ascii="Book Antiqua" w:hAnsi="Book Antiqua" w:eastAsia="黑体" w:cs="Book Antiqua"/>
      <w:bCs/>
      <w:kern w:val="0"/>
      <w:sz w:val="36"/>
      <w:szCs w:val="36"/>
      <w:lang w:eastAsia="en-US"/>
    </w:rPr>
  </w:style>
  <w:style w:type="paragraph" w:styleId="3">
    <w:name w:val="heading 3"/>
    <w:basedOn w:val="1"/>
    <w:next w:val="1"/>
    <w:link w:val="17"/>
    <w:qFormat/>
    <w:uiPriority w:val="0"/>
    <w:pPr>
      <w:keepNext/>
      <w:keepLines/>
      <w:widowControl/>
      <w:numPr>
        <w:ilvl w:val="2"/>
        <w:numId w:val="1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hint="eastAsia" w:ascii="Book Antiqua" w:hAnsi="Book Antiqua" w:eastAsia="黑体" w:cs="宋体"/>
      <w:kern w:val="0"/>
      <w:sz w:val="32"/>
      <w:szCs w:val="32"/>
    </w:rPr>
  </w:style>
  <w:style w:type="paragraph" w:styleId="4">
    <w:name w:val="heading 4"/>
    <w:basedOn w:val="1"/>
    <w:next w:val="1"/>
    <w:link w:val="18"/>
    <w:qFormat/>
    <w:uiPriority w:val="0"/>
    <w:pPr>
      <w:keepNext/>
      <w:keepLines/>
      <w:widowControl/>
      <w:numPr>
        <w:ilvl w:val="3"/>
        <w:numId w:val="1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hint="eastAsia" w:ascii="Book Antiqua" w:hAnsi="Book Antiqua" w:eastAsia="黑体" w:cs="宋体"/>
      <w:kern w:val="0"/>
      <w:sz w:val="28"/>
      <w:szCs w:val="28"/>
    </w:rPr>
  </w:style>
  <w:style w:type="paragraph" w:styleId="5">
    <w:name w:val="heading 5"/>
    <w:basedOn w:val="1"/>
    <w:next w:val="1"/>
    <w:link w:val="19"/>
    <w:qFormat/>
    <w:uiPriority w:val="0"/>
    <w:pPr>
      <w:keepNext/>
      <w:keepLines/>
      <w:widowControl/>
      <w:numPr>
        <w:ilvl w:val="4"/>
        <w:numId w:val="1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hint="eastAsia" w:ascii="Book Antiqua" w:hAnsi="Book Antiqua" w:eastAsia="黑体" w:cs="宋体"/>
      <w:kern w:val="0"/>
      <w:sz w:val="24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99"/>
    <w:pPr>
      <w:ind w:firstLine="420" w:firstLineChars="200"/>
    </w:p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8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9">
    <w:name w:val="Balloon Text"/>
    <w:basedOn w:val="1"/>
    <w:link w:val="38"/>
    <w:qFormat/>
    <w:uiPriority w:val="0"/>
    <w:rPr>
      <w:sz w:val="18"/>
      <w:szCs w:val="18"/>
    </w:rPr>
  </w:style>
  <w:style w:type="paragraph" w:styleId="10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4">
    <w:name w:val="页眉 Char"/>
    <w:basedOn w:val="13"/>
    <w:link w:val="11"/>
    <w:qFormat/>
    <w:uiPriority w:val="0"/>
    <w:rPr>
      <w:kern w:val="2"/>
      <w:sz w:val="18"/>
      <w:szCs w:val="18"/>
    </w:rPr>
  </w:style>
  <w:style w:type="character" w:customStyle="1" w:styleId="15">
    <w:name w:val="页脚 Char"/>
    <w:basedOn w:val="13"/>
    <w:link w:val="10"/>
    <w:uiPriority w:val="0"/>
    <w:rPr>
      <w:kern w:val="2"/>
      <w:sz w:val="18"/>
      <w:szCs w:val="18"/>
    </w:rPr>
  </w:style>
  <w:style w:type="character" w:customStyle="1" w:styleId="16">
    <w:name w:val="标题 2 Char"/>
    <w:basedOn w:val="13"/>
    <w:link w:val="2"/>
    <w:qFormat/>
    <w:uiPriority w:val="0"/>
    <w:rPr>
      <w:rFonts w:ascii="Book Antiqua" w:hAnsi="Book Antiqua" w:eastAsia="黑体" w:cs="Book Antiqua"/>
      <w:bCs/>
      <w:sz w:val="36"/>
      <w:szCs w:val="36"/>
      <w:lang w:eastAsia="en-US"/>
    </w:rPr>
  </w:style>
  <w:style w:type="character" w:customStyle="1" w:styleId="17">
    <w:name w:val="标题 3 Char"/>
    <w:basedOn w:val="13"/>
    <w:link w:val="3"/>
    <w:uiPriority w:val="0"/>
    <w:rPr>
      <w:rFonts w:ascii="Book Antiqua" w:hAnsi="Book Antiqua" w:eastAsia="黑体" w:cs="宋体"/>
      <w:sz w:val="32"/>
      <w:szCs w:val="32"/>
    </w:rPr>
  </w:style>
  <w:style w:type="character" w:customStyle="1" w:styleId="18">
    <w:name w:val="标题 4 Char"/>
    <w:basedOn w:val="13"/>
    <w:link w:val="4"/>
    <w:qFormat/>
    <w:uiPriority w:val="0"/>
    <w:rPr>
      <w:rFonts w:ascii="Book Antiqua" w:hAnsi="Book Antiqua" w:eastAsia="黑体" w:cs="宋体"/>
      <w:sz w:val="28"/>
      <w:szCs w:val="28"/>
    </w:rPr>
  </w:style>
  <w:style w:type="character" w:customStyle="1" w:styleId="19">
    <w:name w:val="标题 5 Char"/>
    <w:basedOn w:val="13"/>
    <w:link w:val="5"/>
    <w:uiPriority w:val="0"/>
    <w:rPr>
      <w:rFonts w:ascii="Book Antiqua" w:hAnsi="Book Antiqua" w:eastAsia="黑体" w:cs="宋体"/>
      <w:sz w:val="24"/>
      <w:szCs w:val="24"/>
    </w:rPr>
  </w:style>
  <w:style w:type="paragraph" w:styleId="20">
    <w:name w:val="List Paragraph"/>
    <w:basedOn w:val="1"/>
    <w:link w:val="2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1">
    <w:name w:val="列出段落 Char"/>
    <w:link w:val="20"/>
    <w:qFormat/>
    <w:uiPriority w:val="34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2">
    <w:name w:val="Item Step in table Char Char"/>
    <w:link w:val="23"/>
    <w:uiPriority w:val="0"/>
    <w:rPr>
      <w:rFonts w:cs="Arial"/>
      <w:bCs/>
      <w:szCs w:val="28"/>
    </w:rPr>
  </w:style>
  <w:style w:type="paragraph" w:customStyle="1" w:styleId="23">
    <w:name w:val="Item Step in table"/>
    <w:basedOn w:val="5"/>
    <w:link w:val="22"/>
    <w:uiPriority w:val="0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hint="default" w:ascii="Times New Roman" w:hAnsi="Times New Roman" w:eastAsia="宋体" w:cs="Arial"/>
      <w:bCs/>
      <w:sz w:val="20"/>
      <w:szCs w:val="28"/>
    </w:rPr>
  </w:style>
  <w:style w:type="paragraph" w:customStyle="1" w:styleId="24">
    <w:name w:val="Block Label"/>
    <w:basedOn w:val="1"/>
    <w:next w:val="1"/>
    <w:qFormat/>
    <w:uiPriority w:val="0"/>
    <w:pPr>
      <w:keepNext/>
      <w:keepLines/>
      <w:widowControl/>
      <w:numPr>
        <w:ilvl w:val="5"/>
        <w:numId w:val="1"/>
      </w:numPr>
      <w:topLinePunct/>
      <w:adjustRightInd w:val="0"/>
      <w:snapToGrid w:val="0"/>
      <w:spacing w:before="300" w:after="80" w:line="240" w:lineRule="atLeast"/>
      <w:jc w:val="left"/>
    </w:pPr>
    <w:rPr>
      <w:rFonts w:hint="eastAsia" w:ascii="Book Antiqua" w:hAnsi="Book Antiqua" w:eastAsia="黑体" w:cs="Book Antiqua"/>
      <w:bCs/>
      <w:kern w:val="0"/>
      <w:sz w:val="26"/>
      <w:szCs w:val="26"/>
    </w:rPr>
  </w:style>
  <w:style w:type="paragraph" w:customStyle="1" w:styleId="25">
    <w:name w:val="Table Description"/>
    <w:basedOn w:val="1"/>
    <w:next w:val="1"/>
    <w:qFormat/>
    <w:uiPriority w:val="0"/>
    <w:pPr>
      <w:keepNext/>
      <w:widowControl/>
      <w:numPr>
        <w:ilvl w:val="8"/>
        <w:numId w:val="1"/>
      </w:numPr>
      <w:topLinePunct/>
      <w:adjustRightInd w:val="0"/>
      <w:snapToGrid w:val="0"/>
      <w:spacing w:before="320" w:after="80" w:line="240" w:lineRule="atLeast"/>
      <w:jc w:val="left"/>
    </w:pPr>
    <w:rPr>
      <w:rFonts w:hint="eastAsia" w:eastAsia="黑体" w:cs="Arial"/>
      <w:spacing w:val="-4"/>
      <w:szCs w:val="21"/>
    </w:rPr>
  </w:style>
  <w:style w:type="character" w:customStyle="1" w:styleId="26">
    <w:name w:val="Table Text Char"/>
    <w:link w:val="27"/>
    <w:uiPriority w:val="0"/>
    <w:rPr>
      <w:rFonts w:cs="Arial"/>
      <w:szCs w:val="21"/>
    </w:rPr>
  </w:style>
  <w:style w:type="paragraph" w:customStyle="1" w:styleId="27">
    <w:name w:val="Table Text"/>
    <w:basedOn w:val="1"/>
    <w:link w:val="26"/>
    <w:qFormat/>
    <w:uiPriority w:val="0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28">
    <w:name w:val="Step"/>
    <w:basedOn w:val="1"/>
    <w:qFormat/>
    <w:uiPriority w:val="0"/>
    <w:pPr>
      <w:widowControl/>
      <w:numPr>
        <w:ilvl w:val="6"/>
        <w:numId w:val="1"/>
      </w:numPr>
      <w:topLinePunct/>
      <w:adjustRightInd w:val="0"/>
      <w:snapToGrid w:val="0"/>
      <w:spacing w:before="160" w:after="160" w:line="240" w:lineRule="atLeast"/>
      <w:jc w:val="left"/>
    </w:pPr>
    <w:rPr>
      <w:rFonts w:hint="eastAsia" w:cs="Arial"/>
      <w:snapToGrid w:val="0"/>
      <w:kern w:val="0"/>
      <w:szCs w:val="21"/>
    </w:rPr>
  </w:style>
  <w:style w:type="paragraph" w:customStyle="1" w:styleId="29">
    <w:name w:val="CAUTION Text Step"/>
    <w:basedOn w:val="1"/>
    <w:qFormat/>
    <w:uiPriority w:val="0"/>
    <w:pPr>
      <w:keepNext/>
      <w:keepLines/>
      <w:widowControl/>
      <w:numPr>
        <w:ilvl w:val="5"/>
        <w:numId w:val="2"/>
      </w:numPr>
      <w:pBdr>
        <w:bottom w:val="single" w:color="auto" w:sz="12" w:space="4"/>
      </w:pBdr>
      <w:topLinePunct/>
      <w:adjustRightInd w:val="0"/>
      <w:snapToGrid w:val="0"/>
      <w:spacing w:before="80" w:after="80" w:line="240" w:lineRule="atLeast"/>
      <w:jc w:val="left"/>
    </w:pPr>
    <w:rPr>
      <w:rFonts w:hint="eastAsia" w:eastAsia="楷体_GB2312" w:cs="Arial"/>
      <w:iCs/>
      <w:szCs w:val="21"/>
    </w:rPr>
  </w:style>
  <w:style w:type="paragraph" w:customStyle="1" w:styleId="30">
    <w:name w:val="Sub Item Step in Table"/>
    <w:qFormat/>
    <w:uiPriority w:val="0"/>
    <w:pPr>
      <w:numPr>
        <w:ilvl w:val="1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1">
    <w:name w:val="Sub Item List in Table"/>
    <w:basedOn w:val="1"/>
    <w:qFormat/>
    <w:uiPriority w:val="0"/>
    <w:pPr>
      <w:widowControl/>
      <w:numPr>
        <w:ilvl w:val="2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paragraph" w:customStyle="1" w:styleId="32">
    <w:name w:val="Sub Item Step in Table List"/>
    <w:qFormat/>
    <w:uiPriority w:val="0"/>
    <w:pPr>
      <w:numPr>
        <w:ilvl w:val="3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3">
    <w:name w:val="Item List in Table"/>
    <w:basedOn w:val="1"/>
    <w:qFormat/>
    <w:uiPriority w:val="99"/>
    <w:pPr>
      <w:widowControl/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kern w:val="0"/>
      <w:szCs w:val="21"/>
    </w:rPr>
  </w:style>
  <w:style w:type="paragraph" w:customStyle="1" w:styleId="34">
    <w:name w:val="Figure Description"/>
    <w:next w:val="1"/>
    <w:qFormat/>
    <w:uiPriority w:val="0"/>
    <w:pPr>
      <w:keepNext/>
      <w:numPr>
        <w:ilvl w:val="7"/>
        <w:numId w:val="1"/>
      </w:numPr>
      <w:adjustRightInd w:val="0"/>
      <w:snapToGrid w:val="0"/>
      <w:spacing w:before="320" w:after="80" w:line="240" w:lineRule="atLeast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35">
    <w:name w:val="Notes Text Step"/>
    <w:basedOn w:val="29"/>
    <w:qFormat/>
    <w:uiPriority w:val="0"/>
    <w:pPr>
      <w:numPr>
        <w:ilvl w:val="6"/>
      </w:numPr>
      <w:pBdr>
        <w:bottom w:val="none" w:color="auto" w:sz="0" w:space="0"/>
      </w:pBdr>
      <w:spacing w:before="40" w:line="200" w:lineRule="atLeast"/>
    </w:pPr>
    <w:rPr>
      <w:sz w:val="18"/>
      <w:szCs w:val="18"/>
    </w:rPr>
  </w:style>
  <w:style w:type="paragraph" w:customStyle="1" w:styleId="36">
    <w:name w:val="Notes Text Step in Table"/>
    <w:qFormat/>
    <w:uiPriority w:val="0"/>
    <w:pPr>
      <w:numPr>
        <w:ilvl w:val="7"/>
        <w:numId w:val="2"/>
      </w:numPr>
      <w:spacing w:before="40" w:after="80" w:line="200" w:lineRule="atLeast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37">
    <w:name w:val="Sub Item List in Table Step"/>
    <w:basedOn w:val="1"/>
    <w:qFormat/>
    <w:uiPriority w:val="0"/>
    <w:pPr>
      <w:widowControl/>
      <w:numPr>
        <w:ilvl w:val="4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character" w:customStyle="1" w:styleId="38">
    <w:name w:val="批注框文本 Char"/>
    <w:basedOn w:val="13"/>
    <w:link w:val="9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1843</Words>
  <Characters>2466</Characters>
  <Lines>61</Lines>
  <Paragraphs>17</Paragraphs>
  <TotalTime>2</TotalTime>
  <ScaleCrop>false</ScaleCrop>
  <LinksUpToDate>false</LinksUpToDate>
  <CharactersWithSpaces>2616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2023-03-08T03:13:52Z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B75484C30A0D48A998196F431A9A3E69</vt:lpwstr>
  </property>
</Properties>
</file>