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eastAsia="仿宋_GB2312"/>
          <w:b/>
          <w:color w:val="000000"/>
          <w:sz w:val="32"/>
          <w:szCs w:val="32"/>
        </w:rPr>
      </w:pPr>
      <w:r>
        <w:rPr>
          <w:rFonts w:hint="eastAsia" w:eastAsia="仿宋_GB2312"/>
          <w:b/>
          <w:color w:val="000000"/>
          <w:sz w:val="32"/>
          <w:szCs w:val="32"/>
        </w:rPr>
        <w:t>黄埔大桥通信程控交换机及监控系统升级改造项目对讲系统设备</w:t>
      </w:r>
      <w:r>
        <w:rPr>
          <w:rFonts w:eastAsia="仿宋_GB2312"/>
          <w:b/>
          <w:color w:val="000000"/>
          <w:sz w:val="32"/>
          <w:szCs w:val="32"/>
        </w:rPr>
        <w:t>采购意向征集公告</w:t>
      </w:r>
    </w:p>
    <w:p>
      <w:pPr>
        <w:spacing w:line="360" w:lineRule="auto"/>
        <w:jc w:val="center"/>
        <w:outlineLvl w:val="1"/>
        <w:rPr>
          <w:sz w:val="24"/>
        </w:rPr>
      </w:pP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项目概况</w:t>
      </w:r>
    </w:p>
    <w:p>
      <w:pPr>
        <w:wordWrap w:val="0"/>
        <w:topLinePunct/>
        <w:spacing w:line="360" w:lineRule="auto"/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1.1项目名称：</w:t>
      </w:r>
      <w:r>
        <w:rPr>
          <w:rFonts w:hint="eastAsia"/>
          <w:bCs/>
          <w:snapToGrid w:val="0"/>
          <w:kern w:val="0"/>
          <w:sz w:val="24"/>
        </w:rPr>
        <w:t>黄埔大桥通信程控交换机及监控系统升级改造项目</w:t>
      </w:r>
    </w:p>
    <w:p>
      <w:pPr>
        <w:wordWrap w:val="0"/>
        <w:topLinePunct/>
        <w:spacing w:line="360" w:lineRule="auto"/>
        <w:ind w:firstLine="566" w:firstLineChars="236"/>
      </w:pPr>
      <w:r>
        <w:rPr>
          <w:bCs/>
          <w:snapToGrid w:val="0"/>
          <w:kern w:val="0"/>
          <w:sz w:val="24"/>
        </w:rPr>
        <w:t>1.2项目地点：</w:t>
      </w:r>
      <w:r>
        <w:rPr>
          <w:rFonts w:hint="eastAsia"/>
          <w:bCs/>
          <w:snapToGrid w:val="0"/>
          <w:kern w:val="0"/>
          <w:sz w:val="24"/>
        </w:rPr>
        <w:t>广州</w:t>
      </w:r>
      <w:r>
        <w:rPr>
          <w:bCs/>
          <w:snapToGrid w:val="0"/>
          <w:kern w:val="0"/>
          <w:sz w:val="24"/>
        </w:rPr>
        <w:t>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</w:rPr>
      </w:pPr>
      <w:r>
        <w:rPr>
          <w:b/>
          <w:snapToGrid w:val="0"/>
          <w:kern w:val="0"/>
          <w:sz w:val="24"/>
        </w:rPr>
        <w:t>具体工程量清单</w:t>
      </w:r>
    </w:p>
    <w:tbl>
      <w:tblPr>
        <w:tblStyle w:val="12"/>
        <w:tblW w:w="910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1"/>
        <w:gridCol w:w="1418"/>
        <w:gridCol w:w="1276"/>
        <w:gridCol w:w="850"/>
        <w:gridCol w:w="709"/>
        <w:gridCol w:w="41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序号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材料名称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品牌/型号</w:t>
            </w: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单位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数量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通讯主机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台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1、支持1000个VoIP分机（可扩展至2000）</w:t>
            </w:r>
            <w:r>
              <w:rPr>
                <w:rFonts w:hint="eastAsia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/>
                <w:color w:val="000000"/>
                <w:sz w:val="22"/>
                <w:szCs w:val="22"/>
              </w:rPr>
              <w:t>2、除基本电话功能外，、内置自动话务员、电话会议、通话录音广播、对讲；</w:t>
            </w:r>
            <w:r>
              <w:rPr>
                <w:rFonts w:hint="eastAsia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/>
                <w:color w:val="000000"/>
                <w:sz w:val="22"/>
                <w:szCs w:val="22"/>
              </w:rPr>
              <w:t>3、通信协议： UDP, TCP, TLS, SRTP；</w:t>
            </w:r>
            <w:r>
              <w:rPr>
                <w:rFonts w:hint="eastAsia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/>
                <w:color w:val="000000"/>
                <w:sz w:val="22"/>
                <w:szCs w:val="22"/>
              </w:rPr>
              <w:t>4、带机性能：300路号码注册，150路并发通话；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多媒体管理控制软件V2.0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套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1、调度功能：一键呼叫、挂断、插讲、拆讲、监听、广播、会议等快捷操作；</w:t>
            </w:r>
            <w:r>
              <w:rPr>
                <w:rFonts w:hint="eastAsia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/>
                <w:color w:val="000000"/>
                <w:sz w:val="22"/>
                <w:szCs w:val="22"/>
              </w:rPr>
              <w:t>2、广播喊话：支持选择终端广播喊话、支持选择分区广播喊话，支持监时任务广播喊话，输入文字转语音广播功能；</w:t>
            </w:r>
            <w:r>
              <w:rPr>
                <w:rFonts w:hint="eastAsia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/>
                <w:color w:val="000000"/>
                <w:sz w:val="22"/>
                <w:szCs w:val="22"/>
              </w:rPr>
              <w:t>3、音乐文件：支持上传MP3、WAV等常用的音频文件，上传时自动转为统一的WAV格式，可根据要求建立不同风络的音乐播放列表；</w:t>
            </w:r>
            <w:r>
              <w:rPr>
                <w:rFonts w:hint="eastAsia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/>
                <w:color w:val="000000"/>
                <w:sz w:val="22"/>
                <w:szCs w:val="22"/>
              </w:rPr>
              <w:t>4、背景音乐：支持多任务、多列表广播任务，支持7*24小时定时广播任务，定时任务可手动启动播放，不影响原来的定时任务；</w:t>
            </w:r>
            <w:r>
              <w:rPr>
                <w:rFonts w:hint="eastAsia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/>
                <w:color w:val="000000"/>
                <w:sz w:val="22"/>
                <w:szCs w:val="22"/>
              </w:rPr>
              <w:t>5、报警管理：（选配功能）支持终端报警触发，弹出报警提示，录入报警日志，生成报警记录；</w:t>
            </w:r>
            <w:r>
              <w:rPr>
                <w:rFonts w:hint="eastAsia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/>
                <w:color w:val="000000"/>
                <w:sz w:val="22"/>
                <w:szCs w:val="22"/>
              </w:rPr>
              <w:t>6、视频联动：（选配功能）支持终端发起报警时自动触发联动视频监控系统显示相对应的视频；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录音模块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套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录音采集、储存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通用接口服务开放平台软件V1.0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套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可支持多用户接入对讲广播调度主控机，实现多用户的分级管理、分组管理，调度管理。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5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外线电话接入网关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台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1、采用高性能TI处理器，具有大容量、全并发的呼叫处理能力，具备电信级的稳定性，是运营商级的FXO模拟语音网关。</w:t>
            </w:r>
            <w:r>
              <w:rPr>
                <w:rFonts w:hint="eastAsia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/>
                <w:color w:val="000000"/>
                <w:sz w:val="22"/>
                <w:szCs w:val="22"/>
              </w:rPr>
              <w:t>2、支持SIP协议和MGCP协议；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6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AC控制器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台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支持最大可以管理252个网络基站，支持跨VLAN管理网络基站，同时支持17个并发进程，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7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网络交换机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台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spacing w:after="240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1、采用优质的光电一体化模块提供良好的光特性和电气特性，</w:t>
            </w:r>
            <w:r>
              <w:rPr>
                <w:rFonts w:hint="eastAsia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/>
                <w:color w:val="000000"/>
                <w:sz w:val="22"/>
                <w:szCs w:val="22"/>
              </w:rPr>
              <w:t>2、保证数据传输可靠，工作寿命长</w:t>
            </w:r>
            <w:r>
              <w:rPr>
                <w:rFonts w:hint="eastAsia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3、支持全双工或半双工模式，并带有自动协商能力   </w:t>
            </w:r>
            <w:r>
              <w:rPr>
                <w:rFonts w:hint="eastAsia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/>
                <w:color w:val="000000"/>
                <w:sz w:val="22"/>
                <w:szCs w:val="22"/>
              </w:rPr>
              <w:t>4、网口支持全自动交叉识别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8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室内无线AP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个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25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1、专为室内环境无线信号覆盖设计，采用ABS室外工程塑料壳体和专业元器件；</w:t>
            </w:r>
            <w:r>
              <w:rPr>
                <w:rFonts w:hint="eastAsia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/>
                <w:color w:val="000000"/>
                <w:sz w:val="22"/>
                <w:szCs w:val="22"/>
              </w:rPr>
              <w:t>2、百兆有线WAN口，无线符合IEEE802.11n/g/b协议，速率最大300Mbps，支持2.4GHz 11N技术，内置信号放大芯片，500mw高功率无线输出，无线传输距离可达30米；</w:t>
            </w:r>
            <w:r>
              <w:rPr>
                <w:rFonts w:hint="eastAsia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/>
                <w:color w:val="000000"/>
                <w:sz w:val="22"/>
                <w:szCs w:val="22"/>
              </w:rPr>
              <w:t>3、无线传输速率，网关，中继，网络基站三大工作模式，适应构建多种无线网络，支持24V PoE网线供电。</w:t>
            </w:r>
            <w:r>
              <w:rPr>
                <w:rFonts w:hint="eastAsia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4、内置64MB内存 + 8MB闪存, 保证更高性能 </w:t>
            </w:r>
            <w:r>
              <w:rPr>
                <w:rFonts w:hint="eastAsia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5、支持PoE网线供电，支持60米网线供电 </w:t>
            </w:r>
            <w:r>
              <w:rPr>
                <w:rFonts w:hint="eastAsia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/>
                <w:color w:val="000000"/>
                <w:sz w:val="22"/>
                <w:szCs w:val="22"/>
              </w:rPr>
              <w:t>6、工作模式:网关，中继，网络基站模式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9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入门级IP话机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台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85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1、支持2线路，带3个可编程按键；                                  </w:t>
            </w:r>
            <w:r>
              <w:rPr>
                <w:rFonts w:hint="eastAsia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/>
                <w:color w:val="000000"/>
                <w:sz w:val="22"/>
                <w:szCs w:val="22"/>
              </w:rPr>
              <w:t>2、高保真(HD)音质: 宽频语音编码，HD手柄，HD免提；</w:t>
            </w:r>
            <w:r>
              <w:rPr>
                <w:rFonts w:hint="eastAsia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3、带 LED 灯的 2 个可编程线路键/ 6 个功能键：呼叫转移、语音信息、耳麦、重拨、静音、免提/5 个导航键/音量调节键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10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视频话机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台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5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1、采用4核处理器，安卓操作系统，7 英寸 1024x600 像素，可调节角度的彩色触摸显示屏，支持高质量的视频通话</w:t>
            </w:r>
            <w:r>
              <w:rPr>
                <w:rFonts w:hint="eastAsia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/>
                <w:color w:val="000000"/>
                <w:sz w:val="22"/>
                <w:szCs w:val="22"/>
              </w:rPr>
              <w:t>2、12V/1A适配器供电，WAN\LAN 口1000M RJ-45 接口，内置100万像素摄像头，7 英寸LCD电容触摸屏，分辨率800 x 480，Type A HDMI 接口，支持32G SD插卡，USB 2.0接口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11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多媒体对讲调度主控机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台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1、基于NGN架构，使用国际标准的SIP协议，具有极好的兼容性和功能可扩展性； </w:t>
            </w:r>
            <w:r>
              <w:rPr>
                <w:rFonts w:hint="eastAsia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采用嵌入式的结构，机架式设计(1U)，LIUX操作系统，不怕病毒侵扰，高稳定性和高可靠性； </w:t>
            </w:r>
            <w:r>
              <w:rPr>
                <w:rFonts w:hint="eastAsia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/>
                <w:color w:val="000000"/>
                <w:sz w:val="22"/>
                <w:szCs w:val="22"/>
              </w:rPr>
              <w:t>2、可实现“对讲广播主机+多媒体控制台”思路，灵活实现语音对讲、广播通知、背景音乐、音频会议、无线对讲接入等功能，选配报警管理、视频联动功能，可实现多级架构管理，满足高速公路多级管理、中心管理的应用；</w:t>
            </w:r>
            <w:r>
              <w:rPr>
                <w:rFonts w:hint="eastAsia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/>
                <w:color w:val="000000"/>
                <w:sz w:val="22"/>
                <w:szCs w:val="22"/>
              </w:rPr>
              <w:t>3、用户接入：支持16个多媒体控制台接入管理(需要单独授权）；</w:t>
            </w:r>
            <w:r>
              <w:rPr>
                <w:rFonts w:hint="eastAsia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/>
                <w:color w:val="000000"/>
                <w:sz w:val="22"/>
                <w:szCs w:val="22"/>
              </w:rPr>
              <w:t>4、带机性能：60路号码注册，30路并发通话；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12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多媒体调度管理软件V2.0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套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多媒体调度管理软件，默认自带一个用户的接入授权许可。</w:t>
            </w:r>
            <w:r>
              <w:rPr>
                <w:rFonts w:hint="eastAsia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/>
                <w:color w:val="000000"/>
                <w:sz w:val="22"/>
                <w:szCs w:val="22"/>
              </w:rPr>
              <w:t>◆功能分区：分区列表、终端列表、任务列表、控制区、排队区、终端信息、系统信息、无人值守、音乐管理等；</w:t>
            </w:r>
            <w:r>
              <w:rPr>
                <w:rFonts w:hint="eastAsia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/>
                <w:color w:val="000000"/>
                <w:sz w:val="22"/>
                <w:szCs w:val="22"/>
              </w:rPr>
              <w:t>◆分区管理：直观显示分区列表名称目录，选择可显示出本分区所有终端，显示终端信息；</w:t>
            </w:r>
            <w:r>
              <w:rPr>
                <w:rFonts w:hint="eastAsia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/>
                <w:color w:val="000000"/>
                <w:sz w:val="22"/>
                <w:szCs w:val="22"/>
              </w:rPr>
              <w:t>◆终端列表：中间直观清楚的显示出终端列表，包含号码、名称、状态、录音等，并在不同的状态显示不同的颜色，选择后可显示出终端的IP地址等；</w:t>
            </w:r>
            <w:r>
              <w:rPr>
                <w:rFonts w:hint="eastAsia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/>
                <w:color w:val="000000"/>
                <w:sz w:val="22"/>
                <w:szCs w:val="22"/>
              </w:rPr>
              <w:t>◆任务列表：右侧直观显示任务列表名称目录，选择可显示任务的信息，可进行播放、暂停、修改等操作；</w:t>
            </w:r>
            <w:r>
              <w:rPr>
                <w:rFonts w:hint="eastAsia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/>
                <w:color w:val="000000"/>
                <w:sz w:val="22"/>
                <w:szCs w:val="22"/>
              </w:rPr>
              <w:t>◆调度功能：一键呼叫、挂断、插讲、拆讲、监听、广播、会议等快捷操作；</w:t>
            </w:r>
            <w:r>
              <w:rPr>
                <w:rFonts w:hint="eastAsia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/>
                <w:color w:val="000000"/>
                <w:sz w:val="22"/>
                <w:szCs w:val="22"/>
              </w:rPr>
              <w:t>◆广播喊话：支持选择终端广播喊话、支持选择分区广播喊话，支持监时任务广播喊话，输入文字转语音广播功能；</w:t>
            </w:r>
            <w:r>
              <w:rPr>
                <w:rFonts w:hint="eastAsia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/>
                <w:color w:val="000000"/>
                <w:sz w:val="22"/>
                <w:szCs w:val="22"/>
              </w:rPr>
              <w:t>◆音乐文件：支持上传MP3、WAV等常用的音频文件，上传时自动转为统一的WAV格式，可根据要求建立不同风络的音乐播放列表；</w:t>
            </w:r>
            <w:r>
              <w:rPr>
                <w:rFonts w:hint="eastAsia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/>
                <w:color w:val="000000"/>
                <w:sz w:val="22"/>
                <w:szCs w:val="22"/>
              </w:rPr>
              <w:t>◆背景音乐：支持多任务、多列表广播任务，支持7*24小时定时广播任务，定时任务可手动启动播放，不影响原来的定时任务；</w:t>
            </w:r>
            <w:r>
              <w:rPr>
                <w:rFonts w:hint="eastAsia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/>
                <w:color w:val="000000"/>
                <w:sz w:val="22"/>
                <w:szCs w:val="22"/>
              </w:rPr>
              <w:t>◆报警管理：（选配功能）支持终端报警触发，弹出报警提示，录入报警日志，生成报警记录；</w:t>
            </w:r>
            <w:r>
              <w:rPr>
                <w:rFonts w:hint="eastAsia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/>
                <w:color w:val="000000"/>
                <w:sz w:val="22"/>
                <w:szCs w:val="22"/>
              </w:rPr>
              <w:t>◆报警短信：（选配功能）支持接到报警后自动转发到内部的话机或无线终端。</w:t>
            </w:r>
            <w:r>
              <w:rPr>
                <w:rFonts w:hint="eastAsia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/>
                <w:color w:val="000000"/>
                <w:sz w:val="22"/>
                <w:szCs w:val="22"/>
              </w:rPr>
              <w:t>◆视频联动：（选配功能）支持终端发起报警时自动触发联动视频监控系统显示相对应的视频；</w:t>
            </w:r>
            <w:r>
              <w:rPr>
                <w:rFonts w:hint="eastAsia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/>
                <w:color w:val="000000"/>
                <w:sz w:val="22"/>
                <w:szCs w:val="22"/>
              </w:rPr>
              <w:t>◆其它功能：支持呼入排队显示；多个号码可绑定形成一个组号接听功能；支持多人电话会议功能。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13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对讲广播视频话机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台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1、系统特性：采用4核处理器，安卓操作系统，7 英寸 1024x600 像素，可调节角度的彩色触摸显示屏，支持高质量的视频通话，来电中文显示，支持SIP</w:t>
            </w:r>
            <w:r>
              <w:rPr>
                <w:rFonts w:hint="eastAsia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2、支持6个SIP号注册，支持SIP UDP/TCP/TLS，全双工免提通话，回声消除，支持丢包补偿，自适应抖动缓冲。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14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亭内三键对讲终端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台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29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spacing w:after="240"/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 1、采用高档铝合金面板，防水防尘，达到IP65级别，持立式或壁挂式安装，</w:t>
            </w:r>
            <w:r>
              <w:rPr>
                <w:rFonts w:hint="eastAsia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/>
                <w:color w:val="000000"/>
                <w:sz w:val="22"/>
                <w:szCs w:val="22"/>
              </w:rPr>
              <w:t>2、支持全双工免提通话对讲，内置高灵敏度麦克，超强降噪、回声消除，自动接听与挂断；内置扬声器，可自动接收喊话、广播与播放背景音乐；</w:t>
            </w:r>
            <w:r>
              <w:rPr>
                <w:rFonts w:hint="eastAsia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/>
                <w:color w:val="000000"/>
                <w:sz w:val="22"/>
                <w:szCs w:val="22"/>
              </w:rPr>
              <w:t>3、支持脚踏报警开关的接入，无声向中心发出报警功能，支持发起对讲或按下报警</w:t>
            </w:r>
            <w:r>
              <w:rPr>
                <w:rFonts w:hint="eastAsia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/>
                <w:color w:val="000000"/>
                <w:sz w:val="22"/>
                <w:szCs w:val="22"/>
              </w:rPr>
              <w:t>4、3个快速呼叫键，一键直达监控;2个10/100M RJ45网络接口(网络桥接模式)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15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移动手持对讲终端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台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1、产品类别：数字，模拟理论通讯距离3km</w:t>
            </w:r>
            <w:r>
              <w:rPr>
                <w:rFonts w:hint="eastAsia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/>
                <w:color w:val="000000"/>
                <w:sz w:val="22"/>
                <w:szCs w:val="22"/>
              </w:rPr>
              <w:t>2、频率稳定度 0.0005ppm 频率范围 400-470MHz</w:t>
            </w:r>
            <w:r>
              <w:rPr>
                <w:rFonts w:hint="eastAsia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/>
                <w:color w:val="000000"/>
                <w:sz w:val="22"/>
                <w:szCs w:val="22"/>
              </w:rPr>
              <w:t>3、信道数 1024个 输出功率 UHF高功率4W，UHF低功率1W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16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集群网关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台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1、采用嵌入式的结构，机架式设计(1U)，LINUX 操作系统，高稳定性和高可靠性</w:t>
            </w:r>
            <w:r>
              <w:rPr>
                <w:rFonts w:hint="eastAsia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/>
                <w:color w:val="000000"/>
                <w:sz w:val="22"/>
                <w:szCs w:val="22"/>
              </w:rPr>
              <w:t>2、核心功能：无线模拟对讲语音转入数字IP网络中，可以与无线对讲机进行对讲，实现亭内数字对讲机和无线对讲机进行对讲，实现无线对讲机和中心控制话机对讲</w:t>
            </w:r>
            <w:r>
              <w:rPr>
                <w:rFonts w:hint="eastAsia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/>
                <w:color w:val="000000"/>
                <w:sz w:val="22"/>
                <w:szCs w:val="22"/>
              </w:rPr>
              <w:t>3、支持2个PTT电台接口, 可支持摩托罗拉、建伍、海能达等多个品牌车载台.</w:t>
            </w:r>
            <w:r>
              <w:rPr>
                <w:rFonts w:hint="eastAsia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/>
                <w:color w:val="000000"/>
                <w:sz w:val="22"/>
                <w:szCs w:val="22"/>
              </w:rPr>
              <w:t>支持注册、中继两种对接模式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17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车载台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台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1、基本规格 频率范围：VHF：136-174MHz，UHF：400-450MHz</w:t>
            </w:r>
            <w:r>
              <w:rPr>
                <w:rFonts w:hint="eastAsia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/>
                <w:color w:val="000000"/>
                <w:sz w:val="22"/>
                <w:szCs w:val="22"/>
              </w:rPr>
              <w:t>2、产品功率：载波输出功率：5W/25W，高音频输出功率：最大达13W</w:t>
            </w:r>
            <w:r>
              <w:rPr>
                <w:rFonts w:hint="eastAsia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/>
                <w:color w:val="000000"/>
                <w:sz w:val="22"/>
                <w:szCs w:val="22"/>
              </w:rPr>
              <w:t>3、采用2.0寸高清彩屏 通过7个可编程按键</w:t>
            </w:r>
            <w:r>
              <w:rPr>
                <w:rFonts w:hint="eastAsia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/>
                <w:color w:val="000000"/>
                <w:sz w:val="22"/>
                <w:szCs w:val="22"/>
              </w:rPr>
              <w:t>4、内置5W大功率扬声器 支持多种模拟信</w:t>
            </w:r>
            <w:r>
              <w:rPr>
                <w:rFonts w:hint="eastAsia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/>
                <w:color w:val="000000"/>
                <w:sz w:val="22"/>
                <w:szCs w:val="22"/>
              </w:rPr>
              <w:t>5、内置GPS定位模块，支持GPS数据传输</w:t>
            </w:r>
            <w:r>
              <w:rPr>
                <w:rFonts w:hint="eastAsia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/>
                <w:color w:val="000000"/>
                <w:sz w:val="22"/>
                <w:szCs w:val="22"/>
              </w:rPr>
              <w:t>6、支持多种呼叫方式，包括个呼、组呼和全呼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18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入口IP网络功放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台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1、2U标准19寸机架式结构</w:t>
            </w:r>
            <w:r>
              <w:rPr>
                <w:rFonts w:hint="eastAsia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/>
                <w:color w:val="000000"/>
                <w:sz w:val="22"/>
                <w:szCs w:val="22"/>
              </w:rPr>
              <w:t>2、7路输入，其中3路话筒，4路信号，一路辅助音源输出；独立音量控制，统一音调控制；</w:t>
            </w:r>
            <w:r>
              <w:rPr>
                <w:rFonts w:hint="eastAsia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/>
                <w:color w:val="000000"/>
                <w:sz w:val="22"/>
                <w:szCs w:val="22"/>
              </w:rPr>
              <w:t>3、话筒1-3,线路1-4音量调节旋钮和高音、低音音调调节旋钮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19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室外音柱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个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1、额定功率：20/60/80W</w:t>
            </w:r>
            <w:r>
              <w:rPr>
                <w:rFonts w:hint="eastAsia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/>
                <w:color w:val="000000"/>
                <w:sz w:val="22"/>
                <w:szCs w:val="22"/>
              </w:rPr>
              <w:t>2、6.5寸喇叭单元4个+1个高音喇叭单元</w:t>
            </w:r>
            <w:r>
              <w:rPr>
                <w:rFonts w:hint="eastAsia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/>
                <w:color w:val="000000"/>
                <w:sz w:val="22"/>
                <w:szCs w:val="22"/>
              </w:rPr>
              <w:t>3、尺寸：900*227*125mm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20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监控中心网络交换机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台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1、采用优质的光电一体化模块提供良好的光特性和电气特性</w:t>
            </w:r>
            <w:r>
              <w:rPr>
                <w:rFonts w:hint="eastAsia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/>
                <w:color w:val="000000"/>
                <w:sz w:val="22"/>
                <w:szCs w:val="22"/>
              </w:rPr>
              <w:t>2、保证数据传输可靠，工作寿命长</w:t>
            </w:r>
            <w:r>
              <w:rPr>
                <w:rFonts w:hint="eastAsia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3、支持全双工或半双工模式，并带有自动协商能力   </w:t>
            </w:r>
            <w:r>
              <w:rPr>
                <w:rFonts w:hint="eastAsia"/>
                <w:color w:val="000000"/>
                <w:sz w:val="22"/>
                <w:szCs w:val="22"/>
              </w:rPr>
              <w:br w:type="textWrapping"/>
            </w:r>
            <w:r>
              <w:rPr>
                <w:rFonts w:hint="eastAsia"/>
                <w:color w:val="000000"/>
                <w:sz w:val="22"/>
                <w:szCs w:val="22"/>
              </w:rPr>
              <w:t>4、网口支持全自动交叉识别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21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收费站网络交换机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台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4111" w:type="dxa"/>
            <w:vMerge w:val="continue"/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22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收费站广场接入网络交换机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台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4111" w:type="dxa"/>
            <w:vMerge w:val="continue"/>
            <w:shd w:val="clear" w:color="auto" w:fill="auto"/>
            <w:vAlign w:val="center"/>
          </w:tcPr>
          <w:p>
            <w:pPr>
              <w:rPr>
                <w:rFonts w:ascii="宋体" w:hAns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23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机柜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台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bottom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6U机柜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24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网线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国标超五类双屏蔽网线</w:t>
            </w: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米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2000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25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网线水晶头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超五类网线水晶头</w:t>
            </w: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个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300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26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电源线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RVV3*1.5带屏蔽电源线</w:t>
            </w: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米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500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27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跳纤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单模双纤FC-LC 5米</w:t>
            </w: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条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6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28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跳纤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单模双纤FC -LC 10米</w:t>
            </w: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条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6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29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跳纤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jc w:val="center"/>
              <w:rPr>
                <w:rFonts w:hint="eastAsia"/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单模双纤FC-SC 5米</w:t>
            </w: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条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6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/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30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/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8口千兆交换机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台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2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桌面式 交换容量16Gbps 包转发率12Mpps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/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31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/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光模块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千兆单模双纤/20公里/LC接口</w:t>
            </w: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jc w:val="center"/>
              <w:rPr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对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6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widowControl/>
              <w:jc w:val="center"/>
              <w:textAlignment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SFP 1.25G 1310nm 20KM</w:t>
            </w: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清单说明：</w:t>
      </w:r>
    </w:p>
    <w:p>
      <w:pPr>
        <w:numPr>
          <w:ilvl w:val="0"/>
          <w:numId w:val="4"/>
        </w:numPr>
        <w:wordWrap w:val="0"/>
        <w:topLinePunct/>
        <w:spacing w:line="360" w:lineRule="auto"/>
        <w:ind w:firstLine="566" w:firstLineChars="236"/>
      </w:pPr>
      <w:r>
        <w:rPr>
          <w:bCs/>
          <w:snapToGrid w:val="0"/>
          <w:kern w:val="0"/>
          <w:sz w:val="24"/>
        </w:rPr>
        <w:t>包括运输、安装调试费、保险费、税费、试运行及缺陷的维护等一切费用；</w:t>
      </w:r>
    </w:p>
    <w:p>
      <w:pPr>
        <w:pStyle w:val="6"/>
        <w:numPr>
          <w:ilvl w:val="0"/>
          <w:numId w:val="4"/>
        </w:numPr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质保期：两年；</w:t>
      </w:r>
    </w:p>
    <w:p>
      <w:pPr>
        <w:pStyle w:val="6"/>
        <w:numPr>
          <w:ilvl w:val="0"/>
          <w:numId w:val="4"/>
        </w:numPr>
        <w:ind w:firstLine="566" w:firstLineChars="236"/>
        <w:rPr>
          <w:rFonts w:hint="eastAsia" w:eastAsiaTheme="minorEastAsia"/>
          <w:b/>
          <w:snapToGrid w:val="0"/>
          <w:kern w:val="0"/>
          <w:szCs w:val="21"/>
          <w:lang w:eastAsia="zh-CN"/>
        </w:rPr>
      </w:pPr>
      <w:r>
        <w:rPr>
          <w:bCs/>
          <w:snapToGrid w:val="0"/>
          <w:kern w:val="0"/>
          <w:sz w:val="24"/>
        </w:rPr>
        <w:t>最高限价：</w:t>
      </w:r>
      <w:r>
        <w:rPr>
          <w:rFonts w:hint="eastAsia"/>
          <w:bCs/>
          <w:snapToGrid w:val="0"/>
          <w:kern w:val="0"/>
          <w:sz w:val="24"/>
          <w:lang w:val="en-US" w:eastAsia="zh-CN"/>
        </w:rPr>
        <w:t>362740</w:t>
      </w:r>
      <w:r>
        <w:rPr>
          <w:bCs/>
          <w:snapToGrid w:val="0"/>
          <w:kern w:val="0"/>
          <w:sz w:val="24"/>
        </w:rPr>
        <w:t>.00元。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供应商资格条件</w:t>
      </w:r>
    </w:p>
    <w:p>
      <w:pPr>
        <w:pStyle w:val="6"/>
        <w:ind w:firstLine="480"/>
      </w:pPr>
      <w:r>
        <w:rPr>
          <w:sz w:val="24"/>
        </w:rPr>
        <w:t>信用信誉良好，所供设备符合本工程量清单设备技术要求。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响应回执的递交</w:t>
      </w:r>
    </w:p>
    <w:p>
      <w:pPr>
        <w:spacing w:line="360" w:lineRule="auto"/>
        <w:ind w:firstLine="480" w:firstLineChars="200"/>
        <w:rPr>
          <w:snapToGrid w:val="0"/>
          <w:color w:val="000000"/>
          <w:kern w:val="0"/>
          <w:sz w:val="24"/>
        </w:rPr>
      </w:pPr>
      <w:r>
        <w:rPr>
          <w:sz w:val="24"/>
        </w:rPr>
        <w:t>凡有意参加本次采购且具备履行本项目能力的供应商，请</w:t>
      </w:r>
      <w:r>
        <w:rPr>
          <w:color w:val="000000"/>
          <w:sz w:val="24"/>
        </w:rPr>
        <w:t>将附于本公告后的响应回执在</w:t>
      </w:r>
      <w:r>
        <w:rPr>
          <w:color w:val="000000"/>
          <w:sz w:val="24"/>
          <w:u w:val="single"/>
        </w:rPr>
        <w:t>2023年0</w:t>
      </w:r>
      <w:r>
        <w:rPr>
          <w:rFonts w:hint="eastAsia"/>
          <w:color w:val="000000"/>
          <w:sz w:val="24"/>
          <w:u w:val="single"/>
          <w:lang w:val="en-US" w:eastAsia="zh-CN"/>
        </w:rPr>
        <w:t>3</w:t>
      </w:r>
      <w:r>
        <w:rPr>
          <w:color w:val="000000"/>
          <w:sz w:val="24"/>
          <w:u w:val="single"/>
        </w:rPr>
        <w:t>月</w:t>
      </w:r>
      <w:r>
        <w:rPr>
          <w:rFonts w:hint="eastAsia"/>
          <w:color w:val="000000"/>
          <w:sz w:val="24"/>
          <w:u w:val="single"/>
          <w:lang w:val="en-US" w:eastAsia="zh-CN"/>
        </w:rPr>
        <w:t>08</w:t>
      </w:r>
      <w:r>
        <w:rPr>
          <w:color w:val="000000"/>
          <w:sz w:val="24"/>
          <w:u w:val="single"/>
        </w:rPr>
        <w:t>日1</w:t>
      </w:r>
      <w:r>
        <w:rPr>
          <w:rFonts w:hint="eastAsia"/>
          <w:color w:val="000000"/>
          <w:sz w:val="24"/>
          <w:u w:val="single"/>
          <w:lang w:val="en-US" w:eastAsia="zh-CN"/>
        </w:rPr>
        <w:t>0</w:t>
      </w:r>
      <w:r>
        <w:rPr>
          <w:color w:val="000000"/>
          <w:sz w:val="24"/>
          <w:u w:val="single"/>
        </w:rPr>
        <w:t>：00</w:t>
      </w:r>
      <w:r>
        <w:rPr>
          <w:color w:val="000000"/>
          <w:sz w:val="24"/>
        </w:rPr>
        <w:t>之前发送至采购人邮箱：</w:t>
      </w:r>
      <w:r>
        <w:rPr>
          <w:rFonts w:hint="eastAsia"/>
          <w:color w:val="000000"/>
          <w:sz w:val="24"/>
          <w:lang w:val="en-US" w:eastAsia="zh-CN"/>
        </w:rPr>
        <w:t>1376039885</w:t>
      </w:r>
      <w:r>
        <w:rPr>
          <w:snapToGrid w:val="0"/>
          <w:color w:val="000000"/>
          <w:kern w:val="0"/>
          <w:sz w:val="24"/>
        </w:rPr>
        <w:t>@qq.com，逾期无效。采购人在收到响应回执后根据供应商信用信誉等情况进行讨论提议，按优先选取本公司库内供应商原则开展后续采购活动，不再另行发布采购公告。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bookmarkStart w:id="0" w:name="_Toc332793818"/>
      <w:bookmarkStart w:id="1" w:name="_Toc332965960"/>
      <w:bookmarkStart w:id="2" w:name="_Toc332793891"/>
      <w:r>
        <w:rPr>
          <w:b/>
          <w:snapToGrid w:val="0"/>
          <w:kern w:val="0"/>
          <w:sz w:val="24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采购  人：广东诚泰交通科技发展有限公司</w:t>
      </w:r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采购人地址：广州市番禺区洛浦街道北环路87号道路研究院二号楼</w:t>
      </w:r>
    </w:p>
    <w:p>
      <w:pPr>
        <w:topLinePunct/>
        <w:spacing w:line="360" w:lineRule="auto"/>
        <w:rPr>
          <w:rFonts w:hint="eastAsia" w:eastAsia="宋体"/>
          <w:color w:val="000000"/>
          <w:sz w:val="24"/>
          <w:lang w:val="en-US" w:eastAsia="zh-CN"/>
        </w:rPr>
      </w:pPr>
      <w:r>
        <w:rPr>
          <w:color w:val="000000"/>
          <w:sz w:val="24"/>
        </w:rPr>
        <w:t>联  系  人：</w:t>
      </w:r>
      <w:r>
        <w:rPr>
          <w:rFonts w:hint="eastAsia"/>
          <w:color w:val="000000"/>
          <w:sz w:val="24"/>
          <w:lang w:val="en-US" w:eastAsia="zh-CN"/>
        </w:rPr>
        <w:t>李工</w:t>
      </w:r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电      话：020-39185740</w:t>
      </w:r>
      <w:bookmarkStart w:id="3" w:name="_GoBack"/>
      <w:bookmarkEnd w:id="3"/>
    </w:p>
    <w:p>
      <w:pPr>
        <w:topLinePunct/>
        <w:spacing w:line="360" w:lineRule="auto"/>
        <w:jc w:val="right"/>
        <w:rPr>
          <w:color w:val="000000"/>
          <w:sz w:val="24"/>
        </w:rPr>
      </w:pPr>
      <w:r>
        <w:rPr>
          <w:color w:val="000000"/>
          <w:sz w:val="24"/>
        </w:rPr>
        <w:t>广东诚泰交通科技发展有限公司</w:t>
      </w:r>
    </w:p>
    <w:p>
      <w:pPr>
        <w:topLinePunct/>
        <w:spacing w:line="360" w:lineRule="auto"/>
        <w:jc w:val="center"/>
        <w:rPr>
          <w:color w:val="000000"/>
          <w:sz w:val="24"/>
        </w:rPr>
      </w:pPr>
      <w:r>
        <w:rPr>
          <w:color w:val="000000"/>
          <w:sz w:val="24"/>
        </w:rPr>
        <w:t xml:space="preserve">                                              2023年</w:t>
      </w:r>
      <w:r>
        <w:rPr>
          <w:rFonts w:hint="eastAsia"/>
          <w:color w:val="000000"/>
          <w:sz w:val="24"/>
          <w:lang w:val="en-US" w:eastAsia="zh-CN"/>
        </w:rPr>
        <w:t>03</w:t>
      </w:r>
      <w:r>
        <w:rPr>
          <w:color w:val="000000"/>
          <w:sz w:val="24"/>
        </w:rPr>
        <w:t>月0</w:t>
      </w:r>
      <w:r>
        <w:rPr>
          <w:rFonts w:hint="eastAsia"/>
          <w:color w:val="000000"/>
          <w:sz w:val="24"/>
          <w:lang w:val="en-US" w:eastAsia="zh-CN"/>
        </w:rPr>
        <w:t>6</w:t>
      </w:r>
      <w:r>
        <w:rPr>
          <w:color w:val="000000"/>
          <w:sz w:val="24"/>
        </w:rPr>
        <w:t>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Book Antiqua">
    <w:panose1 w:val="02040602050305030304"/>
    <w:charset w:val="00"/>
    <w:family w:val="roman"/>
    <w:pitch w:val="default"/>
    <w:sig w:usb0="00000287" w:usb1="00000000" w:usb2="00000000" w:usb3="00000000" w:csb0="2000009F" w:csb1="DFD7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abstractNum w:abstractNumId="2">
    <w:nsid w:val="171657A1"/>
    <w:multiLevelType w:val="multilevel"/>
    <w:tmpl w:val="171657A1"/>
    <w:lvl w:ilvl="0" w:tentative="0">
      <w:start w:val="1"/>
      <w:numFmt w:val="decimal"/>
      <w:suff w:val="nothing"/>
      <w:lvlText w:val="%1 "/>
      <w:lvlJc w:val="left"/>
      <w:pPr>
        <w:ind w:left="0" w:firstLine="0"/>
      </w:pPr>
      <w:rPr>
        <w:rFonts w:hint="default" w:ascii="Book Antiqua" w:hAnsi="Book Antiqua" w:eastAsia="黑体" w:cs="Book Antiqua"/>
        <w:b/>
        <w:bCs/>
        <w:i w:val="0"/>
        <w:iCs w:val="0"/>
        <w:caps w:val="0"/>
        <w:strike w:val="0"/>
        <w:dstrike w:val="0"/>
        <w:vanish w:val="0"/>
        <w:color w:val="000000"/>
        <w:sz w:val="144"/>
        <w:szCs w:val="144"/>
        <w:vertAlign w:val="baseline"/>
      </w:rPr>
    </w:lvl>
    <w:lvl w:ilvl="1" w:tentative="0">
      <w:start w:val="1"/>
      <w:numFmt w:val="decimal"/>
      <w:pStyle w:val="2"/>
      <w:suff w:val="nothing"/>
      <w:lvlText w:val="%1.%2 "/>
      <w:lvlJc w:val="left"/>
      <w:pPr>
        <w:ind w:left="0" w:firstLine="0"/>
      </w:pPr>
      <w:rPr>
        <w:rFonts w:hint="default" w:ascii="Book Antiqua" w:hAnsi="Book Antiqua" w:eastAsia="黑体" w:cs="Book Antiqua"/>
        <w:b w:val="0"/>
        <w:bCs/>
        <w:i w:val="0"/>
        <w:iCs w:val="0"/>
        <w:caps w:val="0"/>
        <w:strike w:val="0"/>
        <w:dstrike w:val="0"/>
        <w:snapToGrid w:val="0"/>
        <w:vanish w:val="0"/>
        <w:color w:val="000000"/>
        <w:spacing w:val="0"/>
        <w:kern w:val="0"/>
        <w:sz w:val="36"/>
        <w:szCs w:val="36"/>
        <w:vertAlign w:val="baseline"/>
      </w:rPr>
    </w:lvl>
    <w:lvl w:ilvl="2" w:tentative="0">
      <w:start w:val="1"/>
      <w:numFmt w:val="decimal"/>
      <w:pStyle w:val="3"/>
      <w:suff w:val="nothing"/>
      <w:lvlText w:val="%1.%2.%3 "/>
      <w:lvlJc w:val="left"/>
      <w:pPr>
        <w:ind w:left="142" w:firstLine="0"/>
      </w:pPr>
    </w:lvl>
    <w:lvl w:ilvl="3" w:tentative="0">
      <w:start w:val="1"/>
      <w:numFmt w:val="decimal"/>
      <w:lvlRestart w:val="1"/>
      <w:pStyle w:val="4"/>
      <w:suff w:val="nothing"/>
      <w:lvlText w:val="%1.%2.%3.%4 "/>
      <w:lvlJc w:val="left"/>
      <w:pPr>
        <w:ind w:left="0" w:firstLine="0"/>
      </w:pPr>
      <w:rPr>
        <w:rFonts w:hint="default" w:ascii="Book Antiqua" w:hAnsi="Book Antiqua" w:eastAsia="黑体" w:cs="Book Antiqua"/>
        <w:bCs/>
        <w:i w:val="0"/>
        <w:iCs w:val="0"/>
        <w:caps w:val="0"/>
        <w:strike w:val="0"/>
        <w:dstrike w:val="0"/>
        <w:vanish w:val="0"/>
        <w:color w:val="000000"/>
        <w:sz w:val="28"/>
        <w:szCs w:val="28"/>
        <w:vertAlign w:val="baseline"/>
      </w:rPr>
    </w:lvl>
    <w:lvl w:ilvl="4" w:tentative="0">
      <w:start w:val="1"/>
      <w:numFmt w:val="decimal"/>
      <w:lvlRestart w:val="1"/>
      <w:pStyle w:val="5"/>
      <w:suff w:val="nothing"/>
      <w:lvlText w:val="%1.%2.%3.%4.%5 "/>
      <w:lvlJc w:val="left"/>
      <w:pPr>
        <w:ind w:left="0" w:firstLine="0"/>
      </w:pPr>
      <w:rPr>
        <w:rFonts w:hint="default" w:ascii="Book Antiqua" w:hAnsi="Book Antiqua" w:eastAsia="黑体" w:cs="Book Antiqua"/>
        <w:bCs/>
        <w:i w:val="0"/>
        <w:iCs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5" w:tentative="0">
      <w:start w:val="1"/>
      <w:numFmt w:val="none"/>
      <w:pStyle w:val="24"/>
      <w:suff w:val="nothing"/>
      <w:lvlText w:val=""/>
      <w:lvlJc w:val="left"/>
      <w:pPr>
        <w:ind w:left="0" w:firstLine="0"/>
      </w:pPr>
      <w:rPr>
        <w:rFonts w:hint="default" w:ascii="Arial" w:hAnsi="Arial" w:cs="Arial"/>
        <w:b/>
        <w:bCs/>
        <w:i w:val="0"/>
        <w:iCs w:val="0"/>
        <w:caps w:val="0"/>
        <w:strike w:val="0"/>
        <w:dstrike w:val="0"/>
        <w:vanish w:val="0"/>
        <w:color w:val="000000"/>
        <w:sz w:val="20"/>
        <w:szCs w:val="20"/>
        <w:vertAlign w:val="baseline"/>
      </w:rPr>
    </w:lvl>
    <w:lvl w:ilvl="6" w:tentative="0">
      <w:start w:val="1"/>
      <w:numFmt w:val="decimal"/>
      <w:pStyle w:val="28"/>
      <w:lvlText w:val="步骤 %7"/>
      <w:lvlJc w:val="right"/>
      <w:pPr>
        <w:tabs>
          <w:tab w:val="left" w:pos="1701"/>
        </w:tabs>
        <w:ind w:left="1701" w:hanging="159"/>
      </w:pPr>
      <w:rPr>
        <w:rFonts w:hint="default" w:ascii="Book Antiqua" w:hAnsi="Book Antiqua" w:eastAsia="黑体" w:cs="Times New Roman"/>
        <w:b w:val="0"/>
        <w:bCs/>
        <w:i w:val="0"/>
        <w:iCs w:val="0"/>
        <w:color w:val="auto"/>
        <w:sz w:val="21"/>
        <w:szCs w:val="21"/>
      </w:rPr>
    </w:lvl>
    <w:lvl w:ilvl="7" w:tentative="0">
      <w:start w:val="1"/>
      <w:numFmt w:val="decimal"/>
      <w:lvlRestart w:val="1"/>
      <w:pStyle w:val="34"/>
      <w:suff w:val="space"/>
      <w:lvlText w:val="图%1-%8"/>
      <w:lvlJc w:val="left"/>
      <w:pPr>
        <w:ind w:left="1701" w:firstLine="0"/>
      </w:pPr>
      <w:rPr>
        <w:rFonts w:hint="default" w:ascii="Times New Roman" w:hAnsi="Times New Roman" w:eastAsia="黑体" w:cs="Book Antiqua"/>
        <w:b w:val="0"/>
        <w:bCs/>
        <w:i w:val="0"/>
        <w:iCs w:val="0"/>
        <w:strike w:val="0"/>
        <w:dstrike w:val="0"/>
        <w:color w:val="000000"/>
        <w:sz w:val="21"/>
        <w:szCs w:val="21"/>
        <w:vertAlign w:val="baseline"/>
      </w:rPr>
    </w:lvl>
    <w:lvl w:ilvl="8" w:tentative="0">
      <w:start w:val="1"/>
      <w:numFmt w:val="decimal"/>
      <w:lvlRestart w:val="1"/>
      <w:pStyle w:val="25"/>
      <w:suff w:val="space"/>
      <w:lvlText w:val="表%1-%9"/>
      <w:lvlJc w:val="left"/>
      <w:pPr>
        <w:ind w:left="1701" w:firstLine="0"/>
      </w:pPr>
      <w:rPr>
        <w:rFonts w:hint="default" w:ascii="Times New Roman" w:hAnsi="Times New Roman" w:eastAsia="黑体"/>
        <w:b w:val="0"/>
        <w:bCs/>
        <w:i w:val="0"/>
        <w:iCs w:val="0"/>
        <w:color w:val="auto"/>
        <w:sz w:val="21"/>
        <w:szCs w:val="21"/>
      </w:rPr>
    </w:lvl>
  </w:abstractNum>
  <w:abstractNum w:abstractNumId="3">
    <w:nsid w:val="6E230785"/>
    <w:multiLevelType w:val="multilevel"/>
    <w:tmpl w:val="6E230785"/>
    <w:lvl w:ilvl="0" w:tentative="0">
      <w:start w:val="1"/>
      <w:numFmt w:val="bullet"/>
      <w:pStyle w:val="33"/>
      <w:lvlText w:val=""/>
      <w:lvlJc w:val="left"/>
      <w:pPr>
        <w:tabs>
          <w:tab w:val="left" w:pos="170"/>
        </w:tabs>
        <w:ind w:left="170" w:hanging="170"/>
      </w:pPr>
      <w:rPr>
        <w:rFonts w:hint="default" w:ascii="Wingdings" w:hAnsi="Wingdings" w:eastAsia="宋体"/>
        <w:b w:val="0"/>
        <w:i w:val="0"/>
        <w:color w:val="auto"/>
        <w:position w:val="3"/>
        <w:sz w:val="13"/>
        <w:szCs w:val="13"/>
      </w:rPr>
    </w:lvl>
    <w:lvl w:ilvl="1" w:tentative="0">
      <w:start w:val="1"/>
      <w:numFmt w:val="lowerLetter"/>
      <w:pStyle w:val="30"/>
      <w:lvlText w:val="%2."/>
      <w:lvlJc w:val="left"/>
      <w:pPr>
        <w:tabs>
          <w:tab w:val="left" w:pos="284"/>
        </w:tabs>
        <w:ind w:left="568" w:hanging="284"/>
      </w:pPr>
      <w:rPr>
        <w:rFonts w:hint="default" w:ascii="Times New Roman" w:hAnsi="Times New Roman" w:cs="Book Antiqua"/>
        <w:b w:val="0"/>
        <w:bCs/>
        <w:i w:val="0"/>
        <w:iCs w:val="0"/>
        <w:sz w:val="21"/>
        <w:szCs w:val="21"/>
        <w:u w:val="none"/>
      </w:rPr>
    </w:lvl>
    <w:lvl w:ilvl="2" w:tentative="0">
      <w:start w:val="1"/>
      <w:numFmt w:val="bullet"/>
      <w:pStyle w:val="31"/>
      <w:lvlText w:val="−"/>
      <w:lvlJc w:val="left"/>
      <w:pPr>
        <w:tabs>
          <w:tab w:val="left" w:pos="568"/>
        </w:tabs>
        <w:ind w:left="568" w:hanging="284"/>
      </w:pPr>
      <w:rPr>
        <w:rFonts w:hint="default" w:ascii="Times New Roman" w:hAnsi="Times New Roman" w:cs="Times New Roman"/>
        <w:sz w:val="16"/>
        <w:szCs w:val="16"/>
      </w:rPr>
    </w:lvl>
    <w:lvl w:ilvl="3" w:tentative="0">
      <w:start w:val="1"/>
      <w:numFmt w:val="decimal"/>
      <w:pStyle w:val="32"/>
      <w:lvlText w:val="%4."/>
      <w:lvlJc w:val="left"/>
      <w:pPr>
        <w:tabs>
          <w:tab w:val="left" w:pos="284"/>
        </w:tabs>
        <w:ind w:left="568" w:hanging="284"/>
      </w:pPr>
      <w:rPr>
        <w:rFonts w:hint="default" w:ascii="Times New Roman" w:hAnsi="Times New Roman" w:cs="Book Antiqua"/>
        <w:b w:val="0"/>
        <w:bCs/>
        <w:i w:val="0"/>
        <w:iCs w:val="0"/>
        <w:sz w:val="21"/>
        <w:szCs w:val="21"/>
        <w:u w:val="none"/>
      </w:rPr>
    </w:lvl>
    <w:lvl w:ilvl="4" w:tentative="0">
      <w:start w:val="1"/>
      <w:numFmt w:val="bullet"/>
      <w:pStyle w:val="37"/>
      <w:lvlText w:val=""/>
      <w:lvlJc w:val="left"/>
      <w:pPr>
        <w:tabs>
          <w:tab w:val="left" w:pos="568"/>
        </w:tabs>
        <w:ind w:left="568" w:hanging="284"/>
      </w:pPr>
      <w:rPr>
        <w:rFonts w:hint="default" w:ascii="Wingdings" w:hAnsi="Wingdings" w:eastAsia="宋体"/>
        <w:b w:val="0"/>
        <w:i w:val="0"/>
        <w:color w:val="auto"/>
        <w:position w:val="3"/>
        <w:sz w:val="13"/>
        <w:szCs w:val="13"/>
      </w:rPr>
    </w:lvl>
    <w:lvl w:ilvl="5" w:tentative="0">
      <w:start w:val="1"/>
      <w:numFmt w:val="decimal"/>
      <w:pStyle w:val="29"/>
      <w:lvlText w:val="%6."/>
      <w:lvlJc w:val="left"/>
      <w:pPr>
        <w:tabs>
          <w:tab w:val="left" w:pos="1985"/>
        </w:tabs>
        <w:ind w:left="1985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21"/>
        <w:szCs w:val="21"/>
      </w:rPr>
    </w:lvl>
    <w:lvl w:ilvl="6" w:tentative="0">
      <w:start w:val="1"/>
      <w:numFmt w:val="decimal"/>
      <w:pStyle w:val="35"/>
      <w:lvlText w:val="%7."/>
      <w:lvlJc w:val="left"/>
      <w:pPr>
        <w:tabs>
          <w:tab w:val="left" w:pos="2359"/>
        </w:tabs>
        <w:ind w:left="2359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18"/>
        <w:szCs w:val="18"/>
      </w:rPr>
    </w:lvl>
    <w:lvl w:ilvl="7" w:tentative="0">
      <w:start w:val="1"/>
      <w:numFmt w:val="decimal"/>
      <w:pStyle w:val="36"/>
      <w:lvlText w:val="%8."/>
      <w:lvlJc w:val="left"/>
      <w:pPr>
        <w:tabs>
          <w:tab w:val="left" w:pos="454"/>
        </w:tabs>
        <w:ind w:left="454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18"/>
        <w:szCs w:val="18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WZkOTkzOGFkNGEzMDNjMmUwMmNjNzM0N2MyZjUwMDQifQ=="/>
  </w:docVars>
  <w:rsids>
    <w:rsidRoot w:val="00172A27"/>
    <w:rsid w:val="00123FE3"/>
    <w:rsid w:val="001301C5"/>
    <w:rsid w:val="00172A27"/>
    <w:rsid w:val="00477707"/>
    <w:rsid w:val="005603E4"/>
    <w:rsid w:val="00791D96"/>
    <w:rsid w:val="009A3C9A"/>
    <w:rsid w:val="00CC1A2E"/>
    <w:rsid w:val="00ED32E4"/>
    <w:rsid w:val="00EE2011"/>
    <w:rsid w:val="00FA736A"/>
    <w:rsid w:val="00FC4153"/>
    <w:rsid w:val="00FD7ED5"/>
    <w:rsid w:val="02040FDF"/>
    <w:rsid w:val="03393105"/>
    <w:rsid w:val="046E3765"/>
    <w:rsid w:val="072D08E0"/>
    <w:rsid w:val="08EE3671"/>
    <w:rsid w:val="0A69025B"/>
    <w:rsid w:val="0DA26991"/>
    <w:rsid w:val="0ECB4993"/>
    <w:rsid w:val="112A7044"/>
    <w:rsid w:val="12ED5CBA"/>
    <w:rsid w:val="14C447F8"/>
    <w:rsid w:val="18606150"/>
    <w:rsid w:val="19B32EC3"/>
    <w:rsid w:val="1A786886"/>
    <w:rsid w:val="1D5379E4"/>
    <w:rsid w:val="1DC008E5"/>
    <w:rsid w:val="1F3E25C9"/>
    <w:rsid w:val="1F8905C9"/>
    <w:rsid w:val="20205D7D"/>
    <w:rsid w:val="2039362C"/>
    <w:rsid w:val="24875F4B"/>
    <w:rsid w:val="28126A09"/>
    <w:rsid w:val="2A6117E0"/>
    <w:rsid w:val="2A9C2048"/>
    <w:rsid w:val="2B975488"/>
    <w:rsid w:val="2BB05A29"/>
    <w:rsid w:val="2BBE1469"/>
    <w:rsid w:val="2C6E5DC0"/>
    <w:rsid w:val="2D393A69"/>
    <w:rsid w:val="2E0860D1"/>
    <w:rsid w:val="2E5A20BA"/>
    <w:rsid w:val="2ECB5FE2"/>
    <w:rsid w:val="34403FA4"/>
    <w:rsid w:val="34DB5F68"/>
    <w:rsid w:val="35912415"/>
    <w:rsid w:val="3A7D6982"/>
    <w:rsid w:val="3C047712"/>
    <w:rsid w:val="3DD1395F"/>
    <w:rsid w:val="3E8C010F"/>
    <w:rsid w:val="3EFD65C9"/>
    <w:rsid w:val="400E2C48"/>
    <w:rsid w:val="403A795B"/>
    <w:rsid w:val="4044389B"/>
    <w:rsid w:val="40C03B09"/>
    <w:rsid w:val="41B551DC"/>
    <w:rsid w:val="42100EF9"/>
    <w:rsid w:val="434B112E"/>
    <w:rsid w:val="46C97C03"/>
    <w:rsid w:val="472B5FAC"/>
    <w:rsid w:val="48AD79E8"/>
    <w:rsid w:val="4908486B"/>
    <w:rsid w:val="49DC5C4D"/>
    <w:rsid w:val="4A44006F"/>
    <w:rsid w:val="4BFB311F"/>
    <w:rsid w:val="4DA31AFF"/>
    <w:rsid w:val="4DB34E2F"/>
    <w:rsid w:val="50DE6FEF"/>
    <w:rsid w:val="515756D7"/>
    <w:rsid w:val="52871060"/>
    <w:rsid w:val="52ED4007"/>
    <w:rsid w:val="54210D44"/>
    <w:rsid w:val="560F1B9D"/>
    <w:rsid w:val="57BF2D4E"/>
    <w:rsid w:val="58B74CBC"/>
    <w:rsid w:val="5B2814D9"/>
    <w:rsid w:val="5E8E770E"/>
    <w:rsid w:val="623B7383"/>
    <w:rsid w:val="63166D1A"/>
    <w:rsid w:val="65922BE0"/>
    <w:rsid w:val="6AC87D14"/>
    <w:rsid w:val="6C083654"/>
    <w:rsid w:val="6C094604"/>
    <w:rsid w:val="6C751B3B"/>
    <w:rsid w:val="6E354925"/>
    <w:rsid w:val="6E4A295F"/>
    <w:rsid w:val="710B2708"/>
    <w:rsid w:val="724471CD"/>
    <w:rsid w:val="74963E13"/>
    <w:rsid w:val="760D37CC"/>
    <w:rsid w:val="79E2018B"/>
    <w:rsid w:val="7C7F737F"/>
    <w:rsid w:val="7DD345AE"/>
    <w:rsid w:val="7F263D72"/>
    <w:rsid w:val="7FE8095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link w:val="16"/>
    <w:qFormat/>
    <w:uiPriority w:val="0"/>
    <w:pPr>
      <w:keepNext/>
      <w:keepLines/>
      <w:widowControl/>
      <w:numPr>
        <w:ilvl w:val="1"/>
        <w:numId w:val="1"/>
      </w:numPr>
      <w:topLinePunct/>
      <w:adjustRightInd w:val="0"/>
      <w:snapToGrid w:val="0"/>
      <w:spacing w:before="600" w:after="160" w:line="240" w:lineRule="atLeast"/>
      <w:jc w:val="left"/>
      <w:outlineLvl w:val="1"/>
    </w:pPr>
    <w:rPr>
      <w:rFonts w:hint="eastAsia" w:ascii="Book Antiqua" w:hAnsi="Book Antiqua" w:eastAsia="黑体" w:cs="Book Antiqua"/>
      <w:bCs/>
      <w:kern w:val="0"/>
      <w:sz w:val="36"/>
      <w:szCs w:val="36"/>
      <w:lang w:eastAsia="en-US"/>
    </w:rPr>
  </w:style>
  <w:style w:type="paragraph" w:styleId="3">
    <w:name w:val="heading 3"/>
    <w:basedOn w:val="1"/>
    <w:next w:val="1"/>
    <w:link w:val="17"/>
    <w:qFormat/>
    <w:uiPriority w:val="0"/>
    <w:pPr>
      <w:keepNext/>
      <w:keepLines/>
      <w:widowControl/>
      <w:numPr>
        <w:ilvl w:val="2"/>
        <w:numId w:val="1"/>
      </w:numPr>
      <w:topLinePunct/>
      <w:adjustRightInd w:val="0"/>
      <w:snapToGrid w:val="0"/>
      <w:spacing w:before="200" w:after="160" w:line="240" w:lineRule="atLeast"/>
      <w:jc w:val="left"/>
      <w:outlineLvl w:val="2"/>
    </w:pPr>
    <w:rPr>
      <w:rFonts w:hint="eastAsia" w:ascii="Book Antiqua" w:hAnsi="Book Antiqua" w:eastAsia="黑体" w:cs="宋体"/>
      <w:kern w:val="0"/>
      <w:sz w:val="32"/>
      <w:szCs w:val="32"/>
    </w:rPr>
  </w:style>
  <w:style w:type="paragraph" w:styleId="4">
    <w:name w:val="heading 4"/>
    <w:basedOn w:val="1"/>
    <w:next w:val="1"/>
    <w:link w:val="18"/>
    <w:qFormat/>
    <w:uiPriority w:val="0"/>
    <w:pPr>
      <w:keepNext/>
      <w:keepLines/>
      <w:widowControl/>
      <w:numPr>
        <w:ilvl w:val="3"/>
        <w:numId w:val="1"/>
      </w:numPr>
      <w:topLinePunct/>
      <w:adjustRightInd w:val="0"/>
      <w:snapToGrid w:val="0"/>
      <w:spacing w:before="160" w:after="160" w:line="240" w:lineRule="atLeast"/>
      <w:jc w:val="left"/>
      <w:outlineLvl w:val="3"/>
    </w:pPr>
    <w:rPr>
      <w:rFonts w:hint="eastAsia" w:ascii="Book Antiqua" w:hAnsi="Book Antiqua" w:eastAsia="黑体" w:cs="宋体"/>
      <w:kern w:val="0"/>
      <w:sz w:val="28"/>
      <w:szCs w:val="28"/>
    </w:rPr>
  </w:style>
  <w:style w:type="paragraph" w:styleId="5">
    <w:name w:val="heading 5"/>
    <w:basedOn w:val="1"/>
    <w:next w:val="1"/>
    <w:link w:val="19"/>
    <w:qFormat/>
    <w:uiPriority w:val="0"/>
    <w:pPr>
      <w:keepNext/>
      <w:keepLines/>
      <w:widowControl/>
      <w:numPr>
        <w:ilvl w:val="4"/>
        <w:numId w:val="1"/>
      </w:numPr>
      <w:topLinePunct/>
      <w:adjustRightInd w:val="0"/>
      <w:snapToGrid w:val="0"/>
      <w:spacing w:before="160" w:after="160" w:line="240" w:lineRule="atLeast"/>
      <w:jc w:val="left"/>
      <w:outlineLvl w:val="4"/>
    </w:pPr>
    <w:rPr>
      <w:rFonts w:hint="eastAsia" w:ascii="Book Antiqua" w:hAnsi="Book Antiqua" w:eastAsia="黑体" w:cs="宋体"/>
      <w:kern w:val="0"/>
      <w:sz w:val="24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qFormat/>
    <w:uiPriority w:val="99"/>
    <w:pPr>
      <w:ind w:firstLine="420" w:firstLineChars="200"/>
    </w:pPr>
  </w:style>
  <w:style w:type="paragraph" w:styleId="7">
    <w:name w:val="Body Text Indent"/>
    <w:basedOn w:val="1"/>
    <w:qFormat/>
    <w:uiPriority w:val="0"/>
    <w:pPr>
      <w:spacing w:after="120"/>
      <w:ind w:left="420" w:leftChars="200"/>
    </w:pPr>
    <w:rPr>
      <w:lang w:val="zh-CN"/>
    </w:rPr>
  </w:style>
  <w:style w:type="paragraph" w:styleId="8">
    <w:name w:val="Plain Text"/>
    <w:basedOn w:val="1"/>
    <w:next w:val="1"/>
    <w:qFormat/>
    <w:uiPriority w:val="0"/>
    <w:rPr>
      <w:rFonts w:ascii="宋体" w:hAnsi="Courier New"/>
      <w:szCs w:val="20"/>
    </w:rPr>
  </w:style>
  <w:style w:type="paragraph" w:styleId="9">
    <w:name w:val="Balloon Text"/>
    <w:basedOn w:val="1"/>
    <w:link w:val="38"/>
    <w:qFormat/>
    <w:uiPriority w:val="0"/>
    <w:rPr>
      <w:sz w:val="18"/>
      <w:szCs w:val="18"/>
    </w:rPr>
  </w:style>
  <w:style w:type="paragraph" w:styleId="10">
    <w:name w:val="footer"/>
    <w:basedOn w:val="1"/>
    <w:link w:val="1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1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4">
    <w:name w:val="页眉 Char"/>
    <w:basedOn w:val="13"/>
    <w:link w:val="11"/>
    <w:qFormat/>
    <w:uiPriority w:val="0"/>
    <w:rPr>
      <w:kern w:val="2"/>
      <w:sz w:val="18"/>
      <w:szCs w:val="18"/>
    </w:rPr>
  </w:style>
  <w:style w:type="character" w:customStyle="1" w:styleId="15">
    <w:name w:val="页脚 Char"/>
    <w:basedOn w:val="13"/>
    <w:link w:val="10"/>
    <w:qFormat/>
    <w:uiPriority w:val="0"/>
    <w:rPr>
      <w:kern w:val="2"/>
      <w:sz w:val="18"/>
      <w:szCs w:val="18"/>
    </w:rPr>
  </w:style>
  <w:style w:type="character" w:customStyle="1" w:styleId="16">
    <w:name w:val="标题 2 Char"/>
    <w:basedOn w:val="13"/>
    <w:link w:val="2"/>
    <w:qFormat/>
    <w:uiPriority w:val="0"/>
    <w:rPr>
      <w:rFonts w:ascii="Book Antiqua" w:hAnsi="Book Antiqua" w:eastAsia="黑体" w:cs="Book Antiqua"/>
      <w:bCs/>
      <w:sz w:val="36"/>
      <w:szCs w:val="36"/>
      <w:lang w:eastAsia="en-US"/>
    </w:rPr>
  </w:style>
  <w:style w:type="character" w:customStyle="1" w:styleId="17">
    <w:name w:val="标题 3 Char"/>
    <w:basedOn w:val="13"/>
    <w:link w:val="3"/>
    <w:qFormat/>
    <w:uiPriority w:val="0"/>
    <w:rPr>
      <w:rFonts w:ascii="Book Antiqua" w:hAnsi="Book Antiqua" w:eastAsia="黑体" w:cs="宋体"/>
      <w:sz w:val="32"/>
      <w:szCs w:val="32"/>
    </w:rPr>
  </w:style>
  <w:style w:type="character" w:customStyle="1" w:styleId="18">
    <w:name w:val="标题 4 Char"/>
    <w:basedOn w:val="13"/>
    <w:link w:val="4"/>
    <w:qFormat/>
    <w:uiPriority w:val="0"/>
    <w:rPr>
      <w:rFonts w:ascii="Book Antiqua" w:hAnsi="Book Antiqua" w:eastAsia="黑体" w:cs="宋体"/>
      <w:sz w:val="28"/>
      <w:szCs w:val="28"/>
    </w:rPr>
  </w:style>
  <w:style w:type="character" w:customStyle="1" w:styleId="19">
    <w:name w:val="标题 5 Char"/>
    <w:basedOn w:val="13"/>
    <w:link w:val="5"/>
    <w:qFormat/>
    <w:uiPriority w:val="0"/>
    <w:rPr>
      <w:rFonts w:ascii="Book Antiqua" w:hAnsi="Book Antiqua" w:eastAsia="黑体" w:cs="宋体"/>
      <w:sz w:val="24"/>
      <w:szCs w:val="24"/>
    </w:rPr>
  </w:style>
  <w:style w:type="paragraph" w:styleId="20">
    <w:name w:val="List Paragraph"/>
    <w:basedOn w:val="1"/>
    <w:link w:val="2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21">
    <w:name w:val="列出段落 Char"/>
    <w:link w:val="20"/>
    <w:qFormat/>
    <w:uiPriority w:val="34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22">
    <w:name w:val="Item Step in table Char Char"/>
    <w:link w:val="23"/>
    <w:qFormat/>
    <w:uiPriority w:val="0"/>
    <w:rPr>
      <w:rFonts w:cs="Arial"/>
      <w:bCs/>
      <w:szCs w:val="28"/>
    </w:rPr>
  </w:style>
  <w:style w:type="paragraph" w:customStyle="1" w:styleId="23">
    <w:name w:val="Item Step in table"/>
    <w:basedOn w:val="5"/>
    <w:link w:val="22"/>
    <w:qFormat/>
    <w:uiPriority w:val="0"/>
    <w:pPr>
      <w:numPr>
        <w:ilvl w:val="0"/>
        <w:numId w:val="0"/>
      </w:numPr>
      <w:tabs>
        <w:tab w:val="left" w:pos="420"/>
      </w:tabs>
      <w:spacing w:before="80" w:after="80" w:line="240" w:lineRule="auto"/>
      <w:ind w:left="420" w:hanging="420"/>
    </w:pPr>
    <w:rPr>
      <w:rFonts w:hint="default" w:ascii="Times New Roman" w:hAnsi="Times New Roman" w:eastAsia="宋体" w:cs="Arial"/>
      <w:bCs/>
      <w:sz w:val="20"/>
      <w:szCs w:val="28"/>
    </w:rPr>
  </w:style>
  <w:style w:type="paragraph" w:customStyle="1" w:styleId="24">
    <w:name w:val="Block Label"/>
    <w:basedOn w:val="1"/>
    <w:next w:val="1"/>
    <w:qFormat/>
    <w:uiPriority w:val="0"/>
    <w:pPr>
      <w:keepNext/>
      <w:keepLines/>
      <w:widowControl/>
      <w:numPr>
        <w:ilvl w:val="5"/>
        <w:numId w:val="1"/>
      </w:numPr>
      <w:topLinePunct/>
      <w:adjustRightInd w:val="0"/>
      <w:snapToGrid w:val="0"/>
      <w:spacing w:before="300" w:after="80" w:line="240" w:lineRule="atLeast"/>
      <w:jc w:val="left"/>
    </w:pPr>
    <w:rPr>
      <w:rFonts w:hint="eastAsia" w:ascii="Book Antiqua" w:hAnsi="Book Antiqua" w:eastAsia="黑体" w:cs="Book Antiqua"/>
      <w:bCs/>
      <w:kern w:val="0"/>
      <w:sz w:val="26"/>
      <w:szCs w:val="26"/>
    </w:rPr>
  </w:style>
  <w:style w:type="paragraph" w:customStyle="1" w:styleId="25">
    <w:name w:val="Table Description"/>
    <w:basedOn w:val="1"/>
    <w:next w:val="1"/>
    <w:qFormat/>
    <w:uiPriority w:val="0"/>
    <w:pPr>
      <w:keepNext/>
      <w:widowControl/>
      <w:numPr>
        <w:ilvl w:val="8"/>
        <w:numId w:val="1"/>
      </w:numPr>
      <w:topLinePunct/>
      <w:adjustRightInd w:val="0"/>
      <w:snapToGrid w:val="0"/>
      <w:spacing w:before="320" w:after="80" w:line="240" w:lineRule="atLeast"/>
      <w:jc w:val="left"/>
    </w:pPr>
    <w:rPr>
      <w:rFonts w:hint="eastAsia" w:eastAsia="黑体" w:cs="Arial"/>
      <w:spacing w:val="-4"/>
      <w:szCs w:val="21"/>
    </w:rPr>
  </w:style>
  <w:style w:type="character" w:customStyle="1" w:styleId="26">
    <w:name w:val="Table Text Char"/>
    <w:link w:val="27"/>
    <w:qFormat/>
    <w:uiPriority w:val="0"/>
    <w:rPr>
      <w:rFonts w:cs="Arial"/>
      <w:szCs w:val="21"/>
    </w:rPr>
  </w:style>
  <w:style w:type="paragraph" w:customStyle="1" w:styleId="27">
    <w:name w:val="Table Text"/>
    <w:basedOn w:val="1"/>
    <w:link w:val="26"/>
    <w:qFormat/>
    <w:uiPriority w:val="0"/>
    <w:pPr>
      <w:topLinePunct/>
      <w:adjustRightInd w:val="0"/>
      <w:snapToGrid w:val="0"/>
      <w:spacing w:before="80" w:after="80" w:line="240" w:lineRule="atLeast"/>
      <w:jc w:val="left"/>
    </w:pPr>
    <w:rPr>
      <w:rFonts w:cs="Arial"/>
      <w:kern w:val="0"/>
      <w:sz w:val="20"/>
      <w:szCs w:val="21"/>
    </w:rPr>
  </w:style>
  <w:style w:type="paragraph" w:customStyle="1" w:styleId="28">
    <w:name w:val="Step"/>
    <w:basedOn w:val="1"/>
    <w:qFormat/>
    <w:uiPriority w:val="0"/>
    <w:pPr>
      <w:widowControl/>
      <w:numPr>
        <w:ilvl w:val="6"/>
        <w:numId w:val="1"/>
      </w:numPr>
      <w:topLinePunct/>
      <w:adjustRightInd w:val="0"/>
      <w:snapToGrid w:val="0"/>
      <w:spacing w:before="160" w:after="160" w:line="240" w:lineRule="atLeast"/>
      <w:jc w:val="left"/>
    </w:pPr>
    <w:rPr>
      <w:rFonts w:hint="eastAsia" w:cs="Arial"/>
      <w:snapToGrid w:val="0"/>
      <w:kern w:val="0"/>
      <w:szCs w:val="21"/>
    </w:rPr>
  </w:style>
  <w:style w:type="paragraph" w:customStyle="1" w:styleId="29">
    <w:name w:val="CAUTION Text Step"/>
    <w:basedOn w:val="1"/>
    <w:qFormat/>
    <w:uiPriority w:val="0"/>
    <w:pPr>
      <w:keepNext/>
      <w:keepLines/>
      <w:widowControl/>
      <w:numPr>
        <w:ilvl w:val="5"/>
        <w:numId w:val="2"/>
      </w:numPr>
      <w:pBdr>
        <w:bottom w:val="single" w:color="auto" w:sz="12" w:space="4"/>
      </w:pBdr>
      <w:topLinePunct/>
      <w:adjustRightInd w:val="0"/>
      <w:snapToGrid w:val="0"/>
      <w:spacing w:before="80" w:after="80" w:line="240" w:lineRule="atLeast"/>
      <w:jc w:val="left"/>
    </w:pPr>
    <w:rPr>
      <w:rFonts w:hint="eastAsia" w:eastAsia="楷体_GB2312" w:cs="Arial"/>
      <w:iCs/>
      <w:szCs w:val="21"/>
    </w:rPr>
  </w:style>
  <w:style w:type="paragraph" w:customStyle="1" w:styleId="30">
    <w:name w:val="Sub Item Step in Table"/>
    <w:qFormat/>
    <w:uiPriority w:val="0"/>
    <w:pPr>
      <w:numPr>
        <w:ilvl w:val="1"/>
        <w:numId w:val="2"/>
      </w:numPr>
      <w:adjustRightInd w:val="0"/>
      <w:snapToGrid w:val="0"/>
      <w:spacing w:before="80" w:after="80" w:line="240" w:lineRule="atLeast"/>
    </w:pPr>
    <w:rPr>
      <w:rFonts w:hint="eastAsia" w:ascii="Times New Roman" w:hAnsi="Times New Roman" w:eastAsia="宋体" w:cs="Arial"/>
      <w:sz w:val="21"/>
      <w:szCs w:val="21"/>
      <w:lang w:val="en-US" w:eastAsia="zh-CN" w:bidi="ar-SA"/>
    </w:rPr>
  </w:style>
  <w:style w:type="paragraph" w:customStyle="1" w:styleId="31">
    <w:name w:val="Sub Item List in Table"/>
    <w:basedOn w:val="1"/>
    <w:qFormat/>
    <w:uiPriority w:val="0"/>
    <w:pPr>
      <w:widowControl/>
      <w:numPr>
        <w:ilvl w:val="2"/>
        <w:numId w:val="2"/>
      </w:numPr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szCs w:val="21"/>
    </w:rPr>
  </w:style>
  <w:style w:type="paragraph" w:customStyle="1" w:styleId="32">
    <w:name w:val="Sub Item Step in Table List"/>
    <w:qFormat/>
    <w:uiPriority w:val="0"/>
    <w:pPr>
      <w:numPr>
        <w:ilvl w:val="3"/>
        <w:numId w:val="2"/>
      </w:numPr>
      <w:adjustRightInd w:val="0"/>
      <w:snapToGrid w:val="0"/>
      <w:spacing w:before="80" w:after="80" w:line="240" w:lineRule="atLeast"/>
    </w:pPr>
    <w:rPr>
      <w:rFonts w:hint="eastAsia" w:ascii="Times New Roman" w:hAnsi="Times New Roman" w:eastAsia="宋体" w:cs="Arial"/>
      <w:sz w:val="21"/>
      <w:szCs w:val="21"/>
      <w:lang w:val="en-US" w:eastAsia="zh-CN" w:bidi="ar-SA"/>
    </w:rPr>
  </w:style>
  <w:style w:type="paragraph" w:customStyle="1" w:styleId="33">
    <w:name w:val="Item List in Table"/>
    <w:basedOn w:val="1"/>
    <w:qFormat/>
    <w:uiPriority w:val="99"/>
    <w:pPr>
      <w:widowControl/>
      <w:numPr>
        <w:ilvl w:val="0"/>
        <w:numId w:val="2"/>
      </w:numPr>
      <w:tabs>
        <w:tab w:val="left" w:pos="284"/>
      </w:tabs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kern w:val="0"/>
      <w:szCs w:val="21"/>
    </w:rPr>
  </w:style>
  <w:style w:type="paragraph" w:customStyle="1" w:styleId="34">
    <w:name w:val="Figure Description"/>
    <w:next w:val="1"/>
    <w:qFormat/>
    <w:uiPriority w:val="0"/>
    <w:pPr>
      <w:keepNext/>
      <w:numPr>
        <w:ilvl w:val="7"/>
        <w:numId w:val="1"/>
      </w:numPr>
      <w:adjustRightInd w:val="0"/>
      <w:snapToGrid w:val="0"/>
      <w:spacing w:before="320" w:after="80" w:line="240" w:lineRule="atLeast"/>
    </w:pPr>
    <w:rPr>
      <w:rFonts w:ascii="Times New Roman" w:hAnsi="Times New Roman" w:eastAsia="黑体" w:cs="Arial"/>
      <w:spacing w:val="-4"/>
      <w:kern w:val="2"/>
      <w:sz w:val="21"/>
      <w:szCs w:val="21"/>
      <w:lang w:val="en-US" w:eastAsia="zh-CN" w:bidi="ar-SA"/>
    </w:rPr>
  </w:style>
  <w:style w:type="paragraph" w:customStyle="1" w:styleId="35">
    <w:name w:val="Notes Text Step"/>
    <w:basedOn w:val="29"/>
    <w:qFormat/>
    <w:uiPriority w:val="0"/>
    <w:pPr>
      <w:numPr>
        <w:ilvl w:val="6"/>
      </w:numPr>
      <w:pBdr>
        <w:bottom w:val="none" w:color="auto" w:sz="0" w:space="0"/>
      </w:pBdr>
      <w:spacing w:before="40" w:line="200" w:lineRule="atLeast"/>
    </w:pPr>
    <w:rPr>
      <w:sz w:val="18"/>
      <w:szCs w:val="18"/>
    </w:rPr>
  </w:style>
  <w:style w:type="paragraph" w:customStyle="1" w:styleId="36">
    <w:name w:val="Notes Text Step in Table"/>
    <w:qFormat/>
    <w:uiPriority w:val="0"/>
    <w:pPr>
      <w:numPr>
        <w:ilvl w:val="7"/>
        <w:numId w:val="2"/>
      </w:numPr>
      <w:spacing w:before="40" w:after="80" w:line="200" w:lineRule="atLeast"/>
    </w:pPr>
    <w:rPr>
      <w:rFonts w:ascii="Times New Roman" w:hAnsi="Times New Roman" w:eastAsia="楷体_GB2312" w:cs="楷体_GB2312"/>
      <w:sz w:val="18"/>
      <w:szCs w:val="18"/>
      <w:lang w:val="en-US" w:eastAsia="zh-CN" w:bidi="ar-SA"/>
    </w:rPr>
  </w:style>
  <w:style w:type="paragraph" w:customStyle="1" w:styleId="37">
    <w:name w:val="Sub Item List in Table Step"/>
    <w:basedOn w:val="1"/>
    <w:qFormat/>
    <w:uiPriority w:val="0"/>
    <w:pPr>
      <w:widowControl/>
      <w:numPr>
        <w:ilvl w:val="4"/>
        <w:numId w:val="2"/>
      </w:numPr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szCs w:val="21"/>
    </w:rPr>
  </w:style>
  <w:style w:type="character" w:customStyle="1" w:styleId="38">
    <w:name w:val="批注框文本 Char"/>
    <w:basedOn w:val="13"/>
    <w:link w:val="9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3359</Words>
  <Characters>3812</Characters>
  <Lines>61</Lines>
  <Paragraphs>17</Paragraphs>
  <TotalTime>36</TotalTime>
  <ScaleCrop>false</ScaleCrop>
  <LinksUpToDate>false</LinksUpToDate>
  <CharactersWithSpaces>3973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倾她国@做她王</cp:lastModifiedBy>
  <cp:lastPrinted>2022-10-20T06:50:00Z</cp:lastPrinted>
  <dcterms:modified xsi:type="dcterms:W3CDTF">2023-03-06T06:24:53Z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B75484C30A0D48A998196F431A9A3E69</vt:lpwstr>
  </property>
</Properties>
</file>