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广州交通投资集团</w:t>
      </w: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监控系统网络安全等级保护整改工程前端设备安全检测与管理</w:t>
      </w:r>
      <w:r>
        <w:rPr>
          <w:rFonts w:hint="eastAsia" w:eastAsia="仿宋_GB2312" w:cs="Times New Roman"/>
          <w:b/>
          <w:color w:val="000000"/>
          <w:sz w:val="32"/>
          <w:szCs w:val="32"/>
          <w:lang w:val="en-US" w:eastAsia="zh-CN"/>
        </w:rPr>
        <w:t>系</w:t>
      </w:r>
      <w:bookmarkStart w:id="3" w:name="_GoBack"/>
      <w:bookmarkEnd w:id="3"/>
      <w:r>
        <w:rPr>
          <w:rFonts w:hint="eastAsia" w:eastAsia="仿宋_GB2312" w:cs="Times New Roman"/>
          <w:b/>
          <w:color w:val="000000"/>
          <w:sz w:val="32"/>
          <w:szCs w:val="32"/>
          <w:lang w:val="en-US" w:eastAsia="zh-CN"/>
        </w:rPr>
        <w:t>统采购</w:t>
      </w: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意向征集公告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  <w:t>项目</w:t>
      </w: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概况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1.1项目名称：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val="en-US" w:eastAsia="zh-CN"/>
        </w:rPr>
        <w:t>广州交通投资集团监控系统网络安全等级保护整改工程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1.2项目地点：广州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bCs w:val="0"/>
        </w:rPr>
      </w:pPr>
      <w:r>
        <w:rPr>
          <w:rFonts w:hint="default" w:ascii="Times New Roman" w:hAnsi="Times New Roman" w:cs="Times New Roman"/>
          <w:b/>
          <w:bCs w:val="0"/>
          <w:snapToGrid w:val="0"/>
          <w:color w:val="auto"/>
          <w:kern w:val="0"/>
          <w:sz w:val="24"/>
          <w:lang w:eastAsia="zh-CN"/>
        </w:rPr>
        <w:t>具体工程量清单</w:t>
      </w:r>
    </w:p>
    <w:tbl>
      <w:tblPr>
        <w:tblStyle w:val="7"/>
        <w:tblW w:w="693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6"/>
        <w:gridCol w:w="2724"/>
        <w:gridCol w:w="840"/>
        <w:gridCol w:w="1110"/>
        <w:gridCol w:w="13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88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序号</w:t>
            </w:r>
          </w:p>
        </w:tc>
        <w:tc>
          <w:tcPr>
            <w:tcW w:w="2724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材料/设备名称</w:t>
            </w:r>
          </w:p>
        </w:tc>
        <w:tc>
          <w:tcPr>
            <w:tcW w:w="84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单位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数量</w:t>
            </w:r>
          </w:p>
        </w:tc>
        <w:tc>
          <w:tcPr>
            <w:tcW w:w="1374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88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72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前端设备安全检测与管理</w:t>
            </w: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系统</w:t>
            </w:r>
          </w:p>
        </w:tc>
        <w:tc>
          <w:tcPr>
            <w:tcW w:w="8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37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清单说明：</w:t>
      </w:r>
    </w:p>
    <w:p>
      <w:pPr>
        <w:numPr>
          <w:ilvl w:val="0"/>
          <w:numId w:val="2"/>
        </w:num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包括运输、安装调试费、保险费、税费、试运行及缺陷的维护等一切费用；</w:t>
      </w:r>
    </w:p>
    <w:p>
      <w:pPr>
        <w:pStyle w:val="4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缺陷责任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期：两年；</w:t>
      </w:r>
    </w:p>
    <w:p>
      <w:pPr>
        <w:pStyle w:val="4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最高限价：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1400000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.00元。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技术要求</w:t>
      </w:r>
    </w:p>
    <w:p>
      <w:pPr>
        <w:pStyle w:val="3"/>
        <w:numPr>
          <w:ilvl w:val="0"/>
          <w:numId w:val="3"/>
        </w:numPr>
        <w:spacing w:before="0" w:after="0" w:line="360" w:lineRule="auto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前端设备安全检测与管理系统</w:t>
      </w:r>
    </w:p>
    <w:p>
      <w:pPr>
        <w:pStyle w:val="5"/>
        <w:widowControl/>
        <w:numPr>
          <w:ilvl w:val="0"/>
          <w:numId w:val="4"/>
        </w:numPr>
        <w:spacing w:after="0" w:line="360" w:lineRule="auto"/>
        <w:ind w:left="0" w:firstLine="480" w:firstLineChars="200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标准1U机架式设备，并配置双交流电源，内存</w:t>
      </w:r>
      <w:r>
        <w:rPr>
          <w:rFonts w:asciiTheme="minorEastAsia" w:hAnsiTheme="minorEastAsia" w:eastAsiaTheme="minorEastAsia"/>
          <w:sz w:val="24"/>
          <w:szCs w:val="24"/>
        </w:rPr>
        <w:t>≥</w:t>
      </w:r>
      <w:r>
        <w:rPr>
          <w:rFonts w:hint="eastAsia" w:asciiTheme="minorEastAsia" w:hAnsiTheme="minorEastAsia" w:eastAsiaTheme="minorEastAsia"/>
          <w:sz w:val="24"/>
          <w:szCs w:val="24"/>
        </w:rPr>
        <w:t>16G，硬盘</w:t>
      </w:r>
      <w:r>
        <w:rPr>
          <w:rFonts w:asciiTheme="minorEastAsia" w:hAnsiTheme="minorEastAsia" w:eastAsiaTheme="minorEastAsia"/>
          <w:sz w:val="24"/>
          <w:szCs w:val="24"/>
        </w:rPr>
        <w:t>≥</w:t>
      </w:r>
      <w:r>
        <w:rPr>
          <w:rFonts w:hint="eastAsia" w:asciiTheme="minorEastAsia" w:hAnsiTheme="minorEastAsia" w:eastAsiaTheme="minorEastAsia"/>
          <w:sz w:val="24"/>
          <w:szCs w:val="24"/>
        </w:rPr>
        <w:t>1TB，千兆电口</w:t>
      </w:r>
      <w:r>
        <w:rPr>
          <w:rFonts w:asciiTheme="minorEastAsia" w:hAnsiTheme="minorEastAsia" w:eastAsiaTheme="minorEastAsia"/>
          <w:sz w:val="24"/>
          <w:szCs w:val="24"/>
        </w:rPr>
        <w:t>≥</w:t>
      </w:r>
      <w:r>
        <w:rPr>
          <w:rFonts w:hint="eastAsia" w:asciiTheme="minorEastAsia" w:hAnsiTheme="minorEastAsia" w:eastAsiaTheme="minorEastAsia"/>
          <w:sz w:val="24"/>
          <w:szCs w:val="24"/>
        </w:rPr>
        <w:t>6个，满足上述接口要求后任剩余扩展槽位≥2个，扩展槽可扩展接口类型最少包括4个千兆电口、4个千兆光口、4个万兆光口，最大并发任务不少于15个，并配置实现1000个地址扫描授权，2年漏洞库升级许可证（含通用漏洞库及视频专网漏洞库），WEB应用扫描授权、违规外联扫描功能授权。</w:t>
      </w:r>
    </w:p>
    <w:p>
      <w:pPr>
        <w:pStyle w:val="5"/>
        <w:widowControl/>
        <w:numPr>
          <w:ilvl w:val="0"/>
          <w:numId w:val="4"/>
        </w:numPr>
        <w:spacing w:after="0" w:line="360" w:lineRule="auto"/>
        <w:ind w:left="0" w:firstLine="480" w:firstLineChars="200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具备丰富资产指纹库及自主研发的识别引擎，对目标资产进行多维度信息探测，支持场景下全资产盘点包括：操作系统识别、中间件识别、数据库识别、开启端口与服务识别、网络设备识别、安全设备识别，须具备各类前端设备的识别能力（包括但不限于海康、大华、宇视、英飞拓等等），提供产品配置截图，</w:t>
      </w:r>
      <w:r>
        <w:rPr>
          <w:rFonts w:hint="eastAsia" w:asciiTheme="minorEastAsia" w:hAnsiTheme="minorEastAsia" w:eastAsiaTheme="minorEastAsia"/>
          <w:sz w:val="24"/>
          <w:szCs w:val="24"/>
          <w:lang w:val="zh-CN"/>
        </w:rPr>
        <w:t>并</w:t>
      </w:r>
      <w:r>
        <w:rPr>
          <w:rFonts w:hint="eastAsia" w:asciiTheme="minorEastAsia" w:hAnsiTheme="minorEastAsia" w:eastAsiaTheme="minorEastAsia"/>
          <w:sz w:val="24"/>
          <w:szCs w:val="24"/>
        </w:rPr>
        <w:t>原厂盖章确认。</w:t>
      </w:r>
    </w:p>
    <w:p>
      <w:pPr>
        <w:pStyle w:val="5"/>
        <w:widowControl/>
        <w:numPr>
          <w:ilvl w:val="0"/>
          <w:numId w:val="4"/>
        </w:numPr>
        <w:spacing w:after="0" w:line="360" w:lineRule="auto"/>
        <w:ind w:left="0" w:firstLine="480" w:firstLineChars="200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可生成导出专业盘点报告（支持HTML、EXCL等格式），报告内容包括但不限于：资产汇总、资产分析、资产详情，提供资产盘点报告，</w:t>
      </w:r>
      <w:r>
        <w:rPr>
          <w:rFonts w:hint="eastAsia" w:asciiTheme="minorEastAsia" w:hAnsiTheme="minorEastAsia" w:eastAsiaTheme="minorEastAsia"/>
          <w:sz w:val="24"/>
          <w:szCs w:val="24"/>
          <w:lang w:val="zh-CN"/>
        </w:rPr>
        <w:t>并</w:t>
      </w:r>
      <w:r>
        <w:rPr>
          <w:rFonts w:hint="eastAsia" w:asciiTheme="minorEastAsia" w:hAnsiTheme="minorEastAsia" w:eastAsiaTheme="minorEastAsia"/>
          <w:sz w:val="24"/>
          <w:szCs w:val="24"/>
        </w:rPr>
        <w:t>原厂盖章确认。</w:t>
      </w:r>
    </w:p>
    <w:p>
      <w:pPr>
        <w:pStyle w:val="5"/>
        <w:widowControl/>
        <w:numPr>
          <w:ilvl w:val="0"/>
          <w:numId w:val="4"/>
        </w:numPr>
        <w:spacing w:after="0" w:line="360" w:lineRule="auto"/>
        <w:ind w:left="0" w:firstLine="480" w:firstLineChars="200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可减轻运维工作量，可基于A段、B段创建下发资产盘点任务，检测任务可发现目标范围内在线的资产，可检测到在线资产的 IP 地址、 MAC 地址、操作系统、设备类型、设备厂商、设备型号、软件版本，并在报告中展示设备开放的高危端口，提供截图并原厂盖章确认。</w:t>
      </w:r>
    </w:p>
    <w:p>
      <w:pPr>
        <w:pStyle w:val="5"/>
        <w:widowControl/>
        <w:numPr>
          <w:ilvl w:val="0"/>
          <w:numId w:val="4"/>
        </w:numPr>
        <w:spacing w:after="0" w:line="360" w:lineRule="auto"/>
        <w:ind w:left="0" w:firstLine="480" w:firstLineChars="200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支持资产盘点策略设置，支持策略的查询、添加、删除，新建策略支持探活方式设置、探测端口自定义设置等，同时支持自定义资产特征，内容包括但不限于特征名称、设备类型、厂商信息、操作系统、创建者等；提供产品配置截图，</w:t>
      </w:r>
      <w:r>
        <w:rPr>
          <w:rFonts w:hint="eastAsia" w:asciiTheme="minorEastAsia" w:hAnsiTheme="minorEastAsia" w:eastAsiaTheme="minorEastAsia"/>
          <w:sz w:val="24"/>
          <w:szCs w:val="24"/>
          <w:lang w:val="zh-CN"/>
        </w:rPr>
        <w:t>并</w:t>
      </w:r>
      <w:r>
        <w:rPr>
          <w:rFonts w:hint="eastAsia" w:asciiTheme="minorEastAsia" w:hAnsiTheme="minorEastAsia" w:eastAsiaTheme="minorEastAsia"/>
          <w:sz w:val="24"/>
          <w:szCs w:val="24"/>
        </w:rPr>
        <w:t>原厂盖章确认。</w:t>
      </w:r>
    </w:p>
    <w:p>
      <w:pPr>
        <w:pStyle w:val="5"/>
        <w:widowControl/>
        <w:numPr>
          <w:ilvl w:val="0"/>
          <w:numId w:val="4"/>
        </w:numPr>
        <w:spacing w:after="0" w:line="360" w:lineRule="auto"/>
        <w:ind w:left="0" w:firstLine="480" w:firstLineChars="200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具备安全漏洞库，对前端摄像枪漏洞及弱口令的具有识别能力，提供产品配置截图，</w:t>
      </w:r>
      <w:r>
        <w:rPr>
          <w:rFonts w:hint="eastAsia" w:asciiTheme="minorEastAsia" w:hAnsiTheme="minorEastAsia" w:eastAsiaTheme="minorEastAsia"/>
          <w:sz w:val="24"/>
          <w:szCs w:val="24"/>
          <w:lang w:val="zh-CN"/>
        </w:rPr>
        <w:t>并</w:t>
      </w:r>
      <w:r>
        <w:rPr>
          <w:rFonts w:hint="eastAsia" w:asciiTheme="minorEastAsia" w:hAnsiTheme="minorEastAsia" w:eastAsiaTheme="minorEastAsia"/>
          <w:sz w:val="24"/>
          <w:szCs w:val="24"/>
        </w:rPr>
        <w:t>原厂盖章确认。</w:t>
      </w:r>
    </w:p>
    <w:p>
      <w:pPr>
        <w:pStyle w:val="5"/>
        <w:widowControl/>
        <w:numPr>
          <w:ilvl w:val="0"/>
          <w:numId w:val="4"/>
        </w:numPr>
        <w:spacing w:after="0" w:line="360" w:lineRule="auto"/>
        <w:ind w:left="0" w:firstLine="480" w:firstLineChars="200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具备通用的安全漏洞库，在办公网、高速视频网的数据中心等场景能具备对通用的服务器、网络设备、安全设备、终端主机、打印机等哑终端的安全漏洞及弱口令的识别能力，提供产品配置截图，</w:t>
      </w:r>
      <w:r>
        <w:rPr>
          <w:rFonts w:hint="eastAsia" w:asciiTheme="minorEastAsia" w:hAnsiTheme="minorEastAsia" w:eastAsiaTheme="minorEastAsia"/>
          <w:sz w:val="24"/>
          <w:szCs w:val="24"/>
          <w:lang w:val="zh-CN"/>
        </w:rPr>
        <w:t>并</w:t>
      </w:r>
      <w:r>
        <w:rPr>
          <w:rFonts w:hint="eastAsia" w:asciiTheme="minorEastAsia" w:hAnsiTheme="minorEastAsia" w:eastAsiaTheme="minorEastAsia"/>
          <w:sz w:val="24"/>
          <w:szCs w:val="24"/>
        </w:rPr>
        <w:t>原厂盖章确认。</w:t>
      </w:r>
    </w:p>
    <w:p>
      <w:pPr>
        <w:pStyle w:val="5"/>
        <w:widowControl/>
        <w:numPr>
          <w:ilvl w:val="0"/>
          <w:numId w:val="4"/>
        </w:numPr>
        <w:spacing w:after="0" w:line="360" w:lineRule="auto"/>
        <w:ind w:left="0" w:firstLine="480" w:firstLineChars="200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对高危漏洞提供自动化验证功能，自动化验证不需要任何人进行参与，自动对漏洞进行验证、判断，并可在安全检测报表中体现，提供截图并原厂盖章确认。</w:t>
      </w:r>
    </w:p>
    <w:p>
      <w:pPr>
        <w:pStyle w:val="5"/>
        <w:widowControl/>
        <w:numPr>
          <w:ilvl w:val="0"/>
          <w:numId w:val="4"/>
        </w:numPr>
        <w:spacing w:after="0" w:line="360" w:lineRule="auto"/>
        <w:ind w:left="0" w:firstLine="480" w:firstLineChars="200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可生成安全检测报告（支持HTML等格式），报告内容包括但不限于：检测汇总（总体安全评级及安全风险分布、区域资产总体风险分析）、检测结果详情分析（主机资产风险、前端监控设备风险等、漏洞分类分析）、资产漏洞统计（IP、资产类型、漏洞分布、风险评级）、模拟人工渗透详细风险描述等，并支持检测报告合并及批量下载，提供安全检测报告及产品配置截图，</w:t>
      </w:r>
      <w:r>
        <w:rPr>
          <w:rFonts w:hint="eastAsia" w:asciiTheme="minorEastAsia" w:hAnsiTheme="minorEastAsia" w:eastAsiaTheme="minorEastAsia"/>
          <w:sz w:val="24"/>
          <w:szCs w:val="24"/>
          <w:lang w:val="zh-CN"/>
        </w:rPr>
        <w:t>并</w:t>
      </w:r>
      <w:r>
        <w:rPr>
          <w:rFonts w:hint="eastAsia" w:asciiTheme="minorEastAsia" w:hAnsiTheme="minorEastAsia" w:eastAsiaTheme="minorEastAsia"/>
          <w:sz w:val="24"/>
          <w:szCs w:val="24"/>
        </w:rPr>
        <w:t>原厂盖章确认。</w:t>
      </w:r>
    </w:p>
    <w:p>
      <w:pPr>
        <w:pStyle w:val="5"/>
        <w:widowControl/>
        <w:numPr>
          <w:ilvl w:val="0"/>
          <w:numId w:val="4"/>
        </w:numPr>
        <w:spacing w:after="0" w:line="360" w:lineRule="auto"/>
        <w:ind w:left="0" w:firstLine="480" w:firstLineChars="200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支持多种检测策略，支持标准安全检测、深度安全检测、web深度检测等，检测目标支持以资产盘点目标区域导入，提供产品配置截图，</w:t>
      </w:r>
      <w:r>
        <w:rPr>
          <w:rFonts w:hint="eastAsia" w:asciiTheme="minorEastAsia" w:hAnsiTheme="minorEastAsia" w:eastAsiaTheme="minorEastAsia"/>
          <w:sz w:val="24"/>
          <w:szCs w:val="24"/>
          <w:lang w:val="zh-CN"/>
        </w:rPr>
        <w:t>并</w:t>
      </w:r>
      <w:r>
        <w:rPr>
          <w:rFonts w:hint="eastAsia" w:asciiTheme="minorEastAsia" w:hAnsiTheme="minorEastAsia" w:eastAsiaTheme="minorEastAsia"/>
          <w:sz w:val="24"/>
          <w:szCs w:val="24"/>
        </w:rPr>
        <w:t>原厂盖章确认。</w:t>
      </w:r>
    </w:p>
    <w:p>
      <w:pPr>
        <w:pStyle w:val="5"/>
        <w:widowControl/>
        <w:numPr>
          <w:ilvl w:val="0"/>
          <w:numId w:val="4"/>
        </w:numPr>
        <w:spacing w:after="0" w:line="360" w:lineRule="auto"/>
        <w:ind w:left="0" w:firstLine="480" w:firstLineChars="200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支持WEB漏洞检测，，支持可选择性地进行某类WEB漏洞的专项检测，支持检测外联行为，提供产品配置截图，</w:t>
      </w:r>
      <w:r>
        <w:rPr>
          <w:rFonts w:hint="eastAsia" w:asciiTheme="minorEastAsia" w:hAnsiTheme="minorEastAsia" w:eastAsiaTheme="minorEastAsia"/>
          <w:sz w:val="24"/>
          <w:szCs w:val="24"/>
          <w:lang w:val="zh-CN"/>
        </w:rPr>
        <w:t>并</w:t>
      </w:r>
      <w:r>
        <w:rPr>
          <w:rFonts w:hint="eastAsia" w:asciiTheme="minorEastAsia" w:hAnsiTheme="minorEastAsia" w:eastAsiaTheme="minorEastAsia"/>
          <w:sz w:val="24"/>
          <w:szCs w:val="24"/>
        </w:rPr>
        <w:t>原厂盖章确认。</w:t>
      </w:r>
    </w:p>
    <w:p>
      <w:pPr>
        <w:pStyle w:val="5"/>
        <w:widowControl/>
        <w:numPr>
          <w:ilvl w:val="0"/>
          <w:numId w:val="4"/>
        </w:numPr>
        <w:spacing w:after="0" w:line="360" w:lineRule="auto"/>
        <w:ind w:left="0" w:firstLine="480" w:firstLineChars="200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具备高危事件预警能力，能够对最新安全事件、高危漏洞及时更新推送平台，同时资产异常情况进行实时预警通知。</w:t>
      </w:r>
    </w:p>
    <w:p>
      <w:pPr>
        <w:pStyle w:val="5"/>
        <w:widowControl/>
        <w:numPr>
          <w:ilvl w:val="0"/>
          <w:numId w:val="4"/>
        </w:numPr>
        <w:spacing w:after="0" w:line="360" w:lineRule="auto"/>
        <w:ind w:left="0" w:firstLine="480" w:firstLineChars="200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具备安全可视化监测大屏，7×24h监控资产状态及安全风险态势。可展示当前安全评分，前端监控设备统计，最新安全风险包括：时间、资产、风险以及风险级别，提供平台功能截图证明。</w:t>
      </w:r>
    </w:p>
    <w:p>
      <w:pPr>
        <w:pStyle w:val="5"/>
        <w:widowControl/>
        <w:numPr>
          <w:ilvl w:val="0"/>
          <w:numId w:val="4"/>
        </w:numPr>
        <w:spacing w:after="0" w:line="360" w:lineRule="auto"/>
        <w:ind w:left="0" w:firstLine="480" w:firstLineChars="200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具备公安部《计算机信息系统安全专用产品销售许可证》，提供证书复印件并原厂盖章确认。</w:t>
      </w:r>
    </w:p>
    <w:p>
      <w:pPr>
        <w:pStyle w:val="5"/>
        <w:widowControl/>
        <w:numPr>
          <w:ilvl w:val="0"/>
          <w:numId w:val="4"/>
        </w:numPr>
        <w:spacing w:after="0" w:line="360" w:lineRule="auto"/>
        <w:ind w:left="0" w:firstLine="480" w:firstLineChars="200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设备厂家是国家信息安全漏洞库（CNNVD）一级技术支撑单位，提供证书复印件并原厂盖章确认。</w:t>
      </w:r>
    </w:p>
    <w:p>
      <w:pPr>
        <w:numPr>
          <w:ilvl w:val="0"/>
          <w:numId w:val="0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pStyle w:val="4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信用信誉良好，所供设备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符合本工程量清单设备技术要求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凡有意参加本次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采购且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具备履行本项目能力的</w:t>
      </w:r>
      <w:r>
        <w:rPr>
          <w:rFonts w:hint="default" w:ascii="Times New Roman" w:hAnsi="Times New Roman" w:cs="Times New Roman"/>
          <w:color w:val="auto"/>
          <w:sz w:val="24"/>
        </w:rPr>
        <w:t>供应商，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请</w:t>
      </w:r>
      <w:r>
        <w:rPr>
          <w:rFonts w:hint="default" w:ascii="Times New Roman" w:hAnsi="Times New Roman" w:cs="Times New Roman"/>
          <w:color w:val="000000"/>
          <w:sz w:val="24"/>
        </w:rPr>
        <w:t>将附于本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公告</w:t>
      </w:r>
      <w:r>
        <w:rPr>
          <w:rFonts w:hint="default" w:ascii="Times New Roman" w:hAnsi="Times New Roman" w:cs="Times New Roman"/>
          <w:color w:val="000000"/>
          <w:sz w:val="24"/>
        </w:rPr>
        <w:t>后的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color w:val="000000"/>
          <w:sz w:val="24"/>
        </w:rPr>
        <w:t>回执在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2022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年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1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月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18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日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16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：00</w:t>
      </w:r>
      <w:r>
        <w:rPr>
          <w:rFonts w:hint="default" w:ascii="Times New Roman" w:hAnsi="Times New Roman" w:cs="Times New Roman"/>
          <w:color w:val="000000"/>
          <w:sz w:val="24"/>
        </w:rPr>
        <w:t>之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前</w:t>
      </w:r>
      <w:r>
        <w:rPr>
          <w:rFonts w:hint="default" w:ascii="Times New Roman" w:hAnsi="Times New Roman" w:cs="Times New Roman"/>
          <w:color w:val="000000"/>
          <w:sz w:val="24"/>
        </w:rPr>
        <w:t>发送至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人邮箱：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1204355776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@qq.com，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人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收到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回执后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bookmarkStart w:id="0" w:name="_Toc332793891"/>
      <w:bookmarkStart w:id="1" w:name="_Toc332965960"/>
      <w:bookmarkStart w:id="2" w:name="_Toc332793818"/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采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购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人：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人地址：广州市番禺区洛浦街道北环路87号道路研究院二号楼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联  系  人：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刘工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电      话：020-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39185740</w:t>
      </w:r>
    </w:p>
    <w:p>
      <w:pPr>
        <w:topLinePunct/>
        <w:spacing w:line="360" w:lineRule="auto"/>
        <w:jc w:val="right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</w:rPr>
        <w:t xml:space="preserve">                                              20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22</w:t>
      </w:r>
      <w:r>
        <w:rPr>
          <w:rFonts w:hint="default" w:ascii="Times New Roman" w:hAnsi="Times New Roman" w:cs="Times New Roman"/>
          <w:color w:val="000000"/>
          <w:sz w:val="24"/>
        </w:rPr>
        <w:t>年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1</w:t>
      </w:r>
      <w:r>
        <w:rPr>
          <w:rFonts w:hint="eastAsia" w:cs="Times New Roman"/>
          <w:color w:val="000000"/>
          <w:sz w:val="24"/>
          <w:lang w:val="en-US" w:eastAsia="zh-CN"/>
        </w:rPr>
        <w:t>2</w:t>
      </w:r>
      <w:r>
        <w:rPr>
          <w:rFonts w:hint="default" w:ascii="Times New Roman" w:hAnsi="Times New Roman" w:cs="Times New Roman"/>
          <w:color w:val="000000"/>
          <w:sz w:val="24"/>
        </w:rPr>
        <w:t>月</w:t>
      </w:r>
      <w:r>
        <w:rPr>
          <w:rFonts w:hint="eastAsia" w:cs="Times New Roman"/>
          <w:color w:val="000000"/>
          <w:sz w:val="24"/>
          <w:lang w:val="en-US" w:eastAsia="zh-CN"/>
        </w:rPr>
        <w:t>1</w:t>
      </w:r>
      <w:r>
        <w:rPr>
          <w:rFonts w:hint="eastAsia" w:ascii="Times New Roman" w:hAnsi="Times New Roman" w:cs="Times New Roman"/>
          <w:color w:val="000000"/>
          <w:sz w:val="24"/>
          <w:lang w:val="en-US" w:eastAsia="zh-CN"/>
        </w:rPr>
        <w:t>5</w:t>
      </w:r>
      <w:r>
        <w:rPr>
          <w:rFonts w:hint="default" w:ascii="Times New Roman" w:hAnsi="Times New Roman" w:cs="Times New Roman"/>
          <w:color w:val="000000"/>
          <w:sz w:val="24"/>
        </w:rPr>
        <w:t>日</w:t>
      </w: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42AF73CD"/>
    <w:multiLevelType w:val="multilevel"/>
    <w:tmpl w:val="42AF73CD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decimal"/>
      <w:isLgl/>
      <w:lvlText w:val="%1.%2"/>
      <w:lvlJc w:val="left"/>
      <w:pPr>
        <w:ind w:left="730" w:hanging="370"/>
      </w:pPr>
      <w:rPr>
        <w:rFonts w:hint="default"/>
      </w:rPr>
    </w:lvl>
    <w:lvl w:ilvl="2" w:tentative="0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 w:tentative="0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 w:tentative="0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 w:tentative="0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 w:tentative="0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 w:tentative="0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 w:tentative="0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">
    <w:nsid w:val="748E4D68"/>
    <w:multiLevelType w:val="multilevel"/>
    <w:tmpl w:val="748E4D68"/>
    <w:lvl w:ilvl="0" w:tentative="0">
      <w:start w:val="1"/>
      <w:numFmt w:val="bullet"/>
      <w:lvlText w:val=""/>
      <w:lvlJc w:val="left"/>
      <w:pPr>
        <w:ind w:left="90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32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74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16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58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00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42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84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26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lmZWYwYjZjYWZmZmQxZjk0MGVkZjNjMjcxOTA3ZjgifQ=="/>
  </w:docVars>
  <w:rsids>
    <w:rsidRoot w:val="00172A27"/>
    <w:rsid w:val="08EE3671"/>
    <w:rsid w:val="0A69025B"/>
    <w:rsid w:val="0DA26991"/>
    <w:rsid w:val="112A7044"/>
    <w:rsid w:val="12ED5CBA"/>
    <w:rsid w:val="14C447F8"/>
    <w:rsid w:val="158219F8"/>
    <w:rsid w:val="1AF776D6"/>
    <w:rsid w:val="20205D7D"/>
    <w:rsid w:val="2BB05A29"/>
    <w:rsid w:val="2E0860D1"/>
    <w:rsid w:val="2ECB5FE2"/>
    <w:rsid w:val="2F454C9E"/>
    <w:rsid w:val="34DB5F68"/>
    <w:rsid w:val="36534A3E"/>
    <w:rsid w:val="3C047712"/>
    <w:rsid w:val="3E8C010F"/>
    <w:rsid w:val="3EFD65C9"/>
    <w:rsid w:val="4044389B"/>
    <w:rsid w:val="40C03B09"/>
    <w:rsid w:val="42100EF9"/>
    <w:rsid w:val="48AD79E8"/>
    <w:rsid w:val="49DC5C4D"/>
    <w:rsid w:val="4DA31AFF"/>
    <w:rsid w:val="515756D7"/>
    <w:rsid w:val="52871060"/>
    <w:rsid w:val="53713843"/>
    <w:rsid w:val="57BF2D4E"/>
    <w:rsid w:val="58B74CBC"/>
    <w:rsid w:val="5E8E770E"/>
    <w:rsid w:val="623B7383"/>
    <w:rsid w:val="63166D1A"/>
    <w:rsid w:val="65922BE0"/>
    <w:rsid w:val="6AC87D14"/>
    <w:rsid w:val="6C083654"/>
    <w:rsid w:val="6C094604"/>
    <w:rsid w:val="79E2018B"/>
    <w:rsid w:val="7C7F737F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3"/>
    <w:basedOn w:val="1"/>
    <w:next w:val="1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  <w:style w:type="paragraph" w:styleId="4">
    <w:name w:val="Normal Indent"/>
    <w:basedOn w:val="1"/>
    <w:qFormat/>
    <w:uiPriority w:val="99"/>
    <w:pPr>
      <w:ind w:firstLine="420" w:firstLineChars="200"/>
    </w:pPr>
  </w:style>
  <w:style w:type="paragraph" w:styleId="5">
    <w:name w:val="Body Text"/>
    <w:basedOn w:val="1"/>
    <w:unhideWhenUsed/>
    <w:qFormat/>
    <w:uiPriority w:val="99"/>
    <w:pPr>
      <w:spacing w:after="120"/>
    </w:pPr>
  </w:style>
  <w:style w:type="paragraph" w:styleId="6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1755</Words>
  <Characters>1844</Characters>
  <Lines>0</Lines>
  <Paragraphs>0</Paragraphs>
  <TotalTime>0</TotalTime>
  <ScaleCrop>false</ScaleCrop>
  <LinksUpToDate>false</LinksUpToDate>
  <CharactersWithSpaces>1909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LYK</cp:lastModifiedBy>
  <cp:lastPrinted>2022-10-20T06:50:00Z</cp:lastPrinted>
  <dcterms:modified xsi:type="dcterms:W3CDTF">2022-12-16T02:12:16Z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B75484C30A0D48A998196F431A9A3E69</vt:lpwstr>
  </property>
</Properties>
</file>