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default" w:ascii="Times New Roman" w:hAnsi="Times New Roman" w:cs="Times New Roman"/>
          <w:color w:val="auto"/>
          <w:sz w:val="24"/>
        </w:rPr>
      </w:pPr>
      <w:r>
        <w:rPr>
          <w:rFonts w:hint="default" w:ascii="Times New Roman" w:hAnsi="Times New Roman" w:eastAsia="仿宋_GB2312" w:cs="Times New Roman"/>
          <w:b/>
          <w:color w:val="000000"/>
          <w:sz w:val="32"/>
          <w:szCs w:val="32"/>
          <w:lang w:val="en-US" w:eastAsia="zh-CN"/>
        </w:rPr>
        <w:t>广州交通投资集团</w:t>
      </w:r>
      <w:r>
        <w:rPr>
          <w:rFonts w:hint="default" w:ascii="Times New Roman" w:hAnsi="Times New Roman" w:eastAsia="仿宋_GB2312" w:cs="Times New Roman"/>
          <w:b/>
          <w:color w:val="000000"/>
          <w:sz w:val="32"/>
          <w:szCs w:val="32"/>
          <w:lang w:val="en-US" w:eastAsia="zh-CN"/>
        </w:rPr>
        <w:t>监控系统网络安全等级保护整改工程</w:t>
      </w:r>
      <w:r>
        <w:rPr>
          <w:rFonts w:hint="eastAsia" w:eastAsia="仿宋_GB2312" w:cs="Times New Roman"/>
          <w:b/>
          <w:color w:val="000000"/>
          <w:sz w:val="32"/>
          <w:szCs w:val="32"/>
          <w:lang w:val="en-US" w:eastAsia="zh-CN"/>
        </w:rPr>
        <w:t>防火墙（利旧）</w:t>
      </w:r>
      <w:bookmarkStart w:id="3" w:name="_GoBack"/>
      <w:bookmarkEnd w:id="3"/>
      <w:r>
        <w:rPr>
          <w:rFonts w:hint="eastAsia" w:eastAsia="仿宋_GB2312" w:cs="Times New Roman"/>
          <w:b/>
          <w:color w:val="000000"/>
          <w:sz w:val="32"/>
          <w:szCs w:val="32"/>
          <w:lang w:val="en-US" w:eastAsia="zh-CN"/>
        </w:rPr>
        <w:t>采购</w:t>
      </w:r>
      <w:r>
        <w:rPr>
          <w:rFonts w:hint="default" w:ascii="Times New Roman" w:hAnsi="Times New Roman" w:eastAsia="仿宋_GB2312" w:cs="Times New Roman"/>
          <w:b/>
          <w:color w:val="000000"/>
          <w:sz w:val="32"/>
          <w:szCs w:val="32"/>
          <w:lang w:val="en-US" w:eastAsia="zh-CN"/>
        </w:rPr>
        <w:t>意向征集公告</w:t>
      </w:r>
    </w:p>
    <w:p>
      <w:pPr>
        <w:numPr>
          <w:ilvl w:val="0"/>
          <w:numId w:val="1"/>
        </w:numPr>
        <w:topLinePunct/>
        <w:spacing w:line="360" w:lineRule="auto"/>
        <w:outlineLvl w:val="1"/>
        <w:rPr>
          <w:rFonts w:hint="default" w:ascii="Times New Roman" w:hAnsi="Times New Roman" w:cs="Times New Roman"/>
          <w:b/>
          <w:snapToGrid w:val="0"/>
          <w:color w:val="auto"/>
          <w:kern w:val="0"/>
          <w:sz w:val="24"/>
        </w:rPr>
      </w:pPr>
      <w:r>
        <w:rPr>
          <w:rFonts w:hint="default" w:ascii="Times New Roman" w:hAnsi="Times New Roman" w:cs="Times New Roman"/>
          <w:b/>
          <w:snapToGrid w:val="0"/>
          <w:color w:val="auto"/>
          <w:kern w:val="0"/>
          <w:sz w:val="24"/>
        </w:rPr>
        <w:t>项目</w:t>
      </w:r>
      <w:r>
        <w:rPr>
          <w:rFonts w:hint="default" w:ascii="Times New Roman" w:hAnsi="Times New Roman" w:cs="Times New Roman"/>
          <w:b/>
          <w:snapToGrid w:val="0"/>
          <w:color w:val="auto"/>
          <w:kern w:val="0"/>
          <w:sz w:val="24"/>
          <w:lang w:val="en-US" w:eastAsia="zh-CN"/>
        </w:rPr>
        <w:t>概况</w:t>
      </w:r>
    </w:p>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1.1项目名称：</w:t>
      </w:r>
      <w:r>
        <w:rPr>
          <w:rFonts w:hint="default" w:ascii="Times New Roman" w:hAnsi="Times New Roman" w:cs="Times New Roman"/>
          <w:bCs/>
          <w:snapToGrid w:val="0"/>
          <w:color w:val="auto"/>
          <w:kern w:val="0"/>
          <w:sz w:val="24"/>
          <w:lang w:val="en-US" w:eastAsia="zh-CN"/>
        </w:rPr>
        <w:t>广州交通投资集团监控系统网络安全等级保护整改工程</w:t>
      </w:r>
    </w:p>
    <w:p>
      <w:pPr>
        <w:wordWrap w:val="0"/>
        <w:topLinePunct/>
        <w:spacing w:line="360" w:lineRule="auto"/>
        <w:ind w:firstLine="566" w:firstLineChars="236"/>
        <w:rPr>
          <w:rFonts w:hint="default" w:ascii="Times New Roman" w:hAnsi="Times New Roman" w:cs="Times New Roman"/>
          <w:lang w:val="en-US" w:eastAsia="zh-CN"/>
        </w:rPr>
      </w:pPr>
      <w:r>
        <w:rPr>
          <w:rFonts w:hint="default" w:ascii="Times New Roman" w:hAnsi="Times New Roman" w:cs="Times New Roman"/>
          <w:bCs/>
          <w:snapToGrid w:val="0"/>
          <w:color w:val="auto"/>
          <w:kern w:val="0"/>
          <w:sz w:val="24"/>
          <w:lang w:eastAsia="zh-CN"/>
        </w:rPr>
        <w:t>1.2项目地点：广州</w:t>
      </w:r>
    </w:p>
    <w:p>
      <w:pPr>
        <w:numPr>
          <w:ilvl w:val="0"/>
          <w:numId w:val="1"/>
        </w:numPr>
        <w:topLinePunct/>
        <w:spacing w:line="360" w:lineRule="auto"/>
        <w:outlineLvl w:val="1"/>
        <w:rPr>
          <w:rFonts w:hint="default" w:ascii="Times New Roman" w:hAnsi="Times New Roman" w:cs="Times New Roman"/>
          <w:b/>
          <w:bCs w:val="0"/>
        </w:rPr>
      </w:pPr>
      <w:r>
        <w:rPr>
          <w:rFonts w:hint="default" w:ascii="Times New Roman" w:hAnsi="Times New Roman" w:cs="Times New Roman"/>
          <w:b/>
          <w:bCs w:val="0"/>
          <w:snapToGrid w:val="0"/>
          <w:color w:val="auto"/>
          <w:kern w:val="0"/>
          <w:sz w:val="24"/>
          <w:lang w:eastAsia="zh-CN"/>
        </w:rPr>
        <w:t>具体工程量清单</w:t>
      </w:r>
    </w:p>
    <w:tbl>
      <w:tblPr>
        <w:tblStyle w:val="7"/>
        <w:tblW w:w="6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724"/>
        <w:gridCol w:w="840"/>
        <w:gridCol w:w="1110"/>
        <w:gridCol w:w="1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86"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序号</w:t>
            </w:r>
          </w:p>
        </w:tc>
        <w:tc>
          <w:tcPr>
            <w:tcW w:w="2724"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材料/设备名称</w:t>
            </w:r>
          </w:p>
        </w:tc>
        <w:tc>
          <w:tcPr>
            <w:tcW w:w="840"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单位</w:t>
            </w:r>
          </w:p>
        </w:tc>
        <w:tc>
          <w:tcPr>
            <w:tcW w:w="1110"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数量</w:t>
            </w:r>
          </w:p>
        </w:tc>
        <w:tc>
          <w:tcPr>
            <w:tcW w:w="1374"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86"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lang w:val="en-US" w:eastAsia="zh-CN"/>
              </w:rPr>
              <w:t>1</w:t>
            </w:r>
          </w:p>
        </w:tc>
        <w:tc>
          <w:tcPr>
            <w:tcW w:w="2724" w:type="dxa"/>
            <w:shd w:val="clear" w:color="auto" w:fill="auto"/>
            <w:vAlign w:val="center"/>
          </w:tcPr>
          <w:p>
            <w:pPr>
              <w:spacing w:line="360" w:lineRule="auto"/>
              <w:jc w:val="center"/>
              <w:rPr>
                <w:rFonts w:hint="default" w:ascii="Times New Roman" w:hAnsi="Times New Roman" w:cs="Times New Roman"/>
                <w:szCs w:val="21"/>
                <w:lang w:val="en-US"/>
              </w:rPr>
            </w:pPr>
            <w:r>
              <w:rPr>
                <w:rFonts w:hint="eastAsia" w:ascii="Times New Roman" w:hAnsi="Times New Roman" w:cs="Times New Roman"/>
                <w:szCs w:val="21"/>
                <w:lang w:val="en-US" w:eastAsia="zh-CN"/>
              </w:rPr>
              <w:t>防火墙（利旧）</w:t>
            </w:r>
          </w:p>
        </w:tc>
        <w:tc>
          <w:tcPr>
            <w:tcW w:w="84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cs="Times New Roman"/>
                <w:i w:val="0"/>
                <w:iCs w:val="0"/>
                <w:color w:val="000000"/>
                <w:kern w:val="0"/>
                <w:sz w:val="21"/>
                <w:szCs w:val="21"/>
                <w:u w:val="none"/>
                <w:lang w:val="en-US" w:eastAsia="zh-CN" w:bidi="ar"/>
              </w:rPr>
              <w:t>台</w:t>
            </w:r>
          </w:p>
        </w:tc>
        <w:tc>
          <w:tcPr>
            <w:tcW w:w="111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6</w:t>
            </w:r>
          </w:p>
        </w:tc>
        <w:tc>
          <w:tcPr>
            <w:tcW w:w="1374"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 w:val="21"/>
                <w:szCs w:val="21"/>
              </w:rPr>
            </w:pPr>
          </w:p>
        </w:tc>
      </w:tr>
    </w:tbl>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清单说明：</w:t>
      </w:r>
    </w:p>
    <w:p>
      <w:pPr>
        <w:numPr>
          <w:ilvl w:val="0"/>
          <w:numId w:val="2"/>
        </w:numPr>
        <w:wordWrap w:val="0"/>
        <w:topLinePunct/>
        <w:spacing w:line="360" w:lineRule="auto"/>
        <w:ind w:firstLine="566" w:firstLineChars="236"/>
        <w:rPr>
          <w:rFonts w:hint="default" w:ascii="Times New Roman" w:hAnsi="Times New Roman" w:cs="Times New Roman"/>
          <w:lang w:eastAsia="zh-CN"/>
        </w:rPr>
      </w:pPr>
      <w:r>
        <w:rPr>
          <w:rFonts w:hint="default" w:ascii="Times New Roman" w:hAnsi="Times New Roman" w:cs="Times New Roman"/>
          <w:bCs/>
          <w:snapToGrid w:val="0"/>
          <w:color w:val="auto"/>
          <w:kern w:val="0"/>
          <w:sz w:val="24"/>
          <w:szCs w:val="24"/>
          <w:lang w:val="en-US" w:eastAsia="zh-CN"/>
        </w:rPr>
        <w:t xml:space="preserve"> </w:t>
      </w:r>
      <w:r>
        <w:rPr>
          <w:rFonts w:hint="default" w:ascii="Times New Roman" w:hAnsi="Times New Roman" w:cs="Times New Roman"/>
          <w:bCs/>
          <w:snapToGrid w:val="0"/>
          <w:color w:val="auto"/>
          <w:kern w:val="0"/>
          <w:sz w:val="24"/>
          <w:szCs w:val="24"/>
          <w:lang w:eastAsia="zh-CN"/>
        </w:rPr>
        <w:t>包括运输、安装调试费、保险费、税费、试运行及缺陷的维护等一切费用；</w:t>
      </w:r>
    </w:p>
    <w:p>
      <w:pPr>
        <w:pStyle w:val="4"/>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eastAsia" w:cs="Times New Roman"/>
          <w:bCs/>
          <w:snapToGrid w:val="0"/>
          <w:color w:val="auto"/>
          <w:kern w:val="0"/>
          <w:sz w:val="24"/>
          <w:szCs w:val="24"/>
          <w:lang w:val="en-US" w:eastAsia="zh-CN" w:bidi="ar-SA"/>
        </w:rPr>
        <w:t>缺陷责任</w:t>
      </w:r>
      <w:r>
        <w:rPr>
          <w:rFonts w:hint="default" w:ascii="Times New Roman" w:hAnsi="Times New Roman" w:cs="Times New Roman"/>
          <w:bCs/>
          <w:snapToGrid w:val="0"/>
          <w:color w:val="auto"/>
          <w:kern w:val="0"/>
          <w:sz w:val="24"/>
          <w:szCs w:val="24"/>
          <w:lang w:val="en-US" w:eastAsia="zh-CN" w:bidi="ar-SA"/>
        </w:rPr>
        <w:t>期：两年；</w:t>
      </w:r>
    </w:p>
    <w:p>
      <w:pPr>
        <w:pStyle w:val="4"/>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default" w:ascii="Times New Roman" w:hAnsi="Times New Roman" w:cs="Times New Roman"/>
          <w:bCs/>
          <w:snapToGrid w:val="0"/>
          <w:color w:val="auto"/>
          <w:kern w:val="0"/>
          <w:sz w:val="24"/>
          <w:szCs w:val="24"/>
          <w:lang w:val="en-US" w:eastAsia="zh-CN" w:bidi="ar-SA"/>
        </w:rPr>
        <w:t>最高限价：</w:t>
      </w:r>
      <w:r>
        <w:rPr>
          <w:rFonts w:hint="eastAsia" w:cs="Times New Roman"/>
          <w:bCs/>
          <w:snapToGrid w:val="0"/>
          <w:color w:val="auto"/>
          <w:kern w:val="0"/>
          <w:sz w:val="24"/>
          <w:szCs w:val="24"/>
          <w:lang w:val="en-US" w:eastAsia="zh-CN" w:bidi="ar-SA"/>
        </w:rPr>
        <w:t>90000</w:t>
      </w:r>
      <w:r>
        <w:rPr>
          <w:rFonts w:hint="default" w:ascii="Times New Roman" w:hAnsi="Times New Roman" w:cs="Times New Roman"/>
          <w:bCs/>
          <w:snapToGrid w:val="0"/>
          <w:color w:val="auto"/>
          <w:kern w:val="0"/>
          <w:sz w:val="24"/>
          <w:szCs w:val="24"/>
          <w:lang w:val="en-US" w:eastAsia="zh-CN" w:bidi="ar-SA"/>
        </w:rPr>
        <w:t>.00元。</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技术要求</w:t>
      </w:r>
    </w:p>
    <w:p>
      <w:pPr>
        <w:pStyle w:val="3"/>
        <w:numPr>
          <w:ilvl w:val="0"/>
          <w:numId w:val="3"/>
        </w:numPr>
        <w:spacing w:before="0" w:after="0" w:line="360" w:lineRule="auto"/>
        <w:jc w:val="left"/>
        <w:rPr>
          <w:rFonts w:asciiTheme="minorEastAsia" w:hAnsiTheme="minorEastAsia" w:eastAsiaTheme="minorEastAsia"/>
          <w:sz w:val="24"/>
          <w:szCs w:val="24"/>
        </w:rPr>
      </w:pPr>
      <w:r>
        <w:rPr>
          <w:rFonts w:hint="eastAsia" w:asciiTheme="minorEastAsia" w:hAnsiTheme="minorEastAsia" w:eastAsiaTheme="minorEastAsia"/>
          <w:sz w:val="24"/>
          <w:szCs w:val="24"/>
        </w:rPr>
        <w:t>防火墙</w:t>
      </w:r>
    </w:p>
    <w:p>
      <w:pPr>
        <w:pStyle w:val="2"/>
        <w:numPr>
          <w:ilvl w:val="1"/>
          <w:numId w:val="3"/>
        </w:numPr>
        <w:spacing w:line="360" w:lineRule="auto"/>
        <w:ind w:left="993" w:hanging="567"/>
        <w:rPr>
          <w:rFonts w:asciiTheme="minorEastAsia" w:hAnsiTheme="minorEastAsia" w:eastAsiaTheme="minorEastAsia"/>
          <w:b/>
        </w:rPr>
      </w:pPr>
      <w:r>
        <w:rPr>
          <w:rFonts w:hint="eastAsia" w:asciiTheme="minorEastAsia" w:hAnsiTheme="minorEastAsia" w:eastAsiaTheme="minorEastAsia"/>
          <w:b/>
        </w:rPr>
        <w:t>防火墙（利旧）</w:t>
      </w:r>
    </w:p>
    <w:p>
      <w:pPr>
        <w:pStyle w:val="5"/>
        <w:widowControl/>
        <w:numPr>
          <w:ilvl w:val="0"/>
          <w:numId w:val="4"/>
        </w:numPr>
        <w:spacing w:after="0" w:line="360" w:lineRule="auto"/>
        <w:ind w:left="0" w:firstLine="480" w:firstLineChars="200"/>
        <w:jc w:val="left"/>
        <w:rPr>
          <w:rFonts w:asciiTheme="minorEastAsia" w:hAnsiTheme="minorEastAsia" w:eastAsiaTheme="minorEastAsia"/>
          <w:b/>
          <w:sz w:val="24"/>
          <w:szCs w:val="24"/>
        </w:rPr>
      </w:pPr>
      <w:r>
        <w:rPr>
          <w:rFonts w:hint="eastAsia" w:asciiTheme="minorEastAsia" w:hAnsiTheme="minorEastAsia" w:eastAsiaTheme="minorEastAsia"/>
          <w:sz w:val="24"/>
          <w:szCs w:val="24"/>
        </w:rPr>
        <w:t>华为U</w:t>
      </w:r>
      <w:r>
        <w:rPr>
          <w:rFonts w:asciiTheme="minorEastAsia" w:hAnsiTheme="minorEastAsia" w:eastAsiaTheme="minorEastAsia"/>
          <w:sz w:val="24"/>
          <w:szCs w:val="24"/>
        </w:rPr>
        <w:t>SG6600</w:t>
      </w:r>
      <w:r>
        <w:rPr>
          <w:rFonts w:hint="eastAsia" w:asciiTheme="minorEastAsia" w:hAnsiTheme="minorEastAsia" w:eastAsiaTheme="minorEastAsia"/>
          <w:sz w:val="24"/>
          <w:szCs w:val="24"/>
        </w:rPr>
        <w:t>系列防火墙I</w:t>
      </w:r>
      <w:r>
        <w:rPr>
          <w:rFonts w:asciiTheme="minorEastAsia" w:hAnsiTheme="minorEastAsia" w:eastAsiaTheme="minorEastAsia"/>
          <w:sz w:val="24"/>
          <w:szCs w:val="24"/>
        </w:rPr>
        <w:t>PS</w:t>
      </w:r>
      <w:r>
        <w:rPr>
          <w:rFonts w:hint="eastAsia" w:asciiTheme="minorEastAsia" w:hAnsiTheme="minorEastAsia" w:eastAsiaTheme="minorEastAsia"/>
          <w:sz w:val="24"/>
          <w:szCs w:val="24"/>
        </w:rPr>
        <w:t>、反病毒授权升级服务2年，不含硬件质保续期。</w:t>
      </w:r>
    </w:p>
    <w:p>
      <w:pPr>
        <w:pStyle w:val="2"/>
        <w:numPr>
          <w:ilvl w:val="1"/>
          <w:numId w:val="3"/>
        </w:numPr>
        <w:spacing w:line="360" w:lineRule="auto"/>
        <w:ind w:left="993" w:hanging="567"/>
        <w:rPr>
          <w:rFonts w:asciiTheme="minorEastAsia" w:hAnsiTheme="minorEastAsia" w:eastAsiaTheme="minorEastAsia"/>
          <w:b/>
        </w:rPr>
      </w:pPr>
      <w:r>
        <w:rPr>
          <w:rFonts w:hint="eastAsia" w:asciiTheme="minorEastAsia" w:hAnsiTheme="minorEastAsia" w:eastAsiaTheme="minorEastAsia"/>
          <w:b/>
        </w:rPr>
        <w:t>防火墙（新增）</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2U,不少于8个千兆电口，</w:t>
      </w:r>
      <w:r>
        <w:rPr>
          <w:rFonts w:hint="eastAsia" w:asciiTheme="minorEastAsia" w:hAnsiTheme="minorEastAsia" w:eastAsiaTheme="minorEastAsia"/>
          <w:sz w:val="24"/>
          <w:szCs w:val="24"/>
        </w:rPr>
        <w:t>不少于</w:t>
      </w:r>
      <w:r>
        <w:rPr>
          <w:rFonts w:asciiTheme="minorEastAsia" w:hAnsiTheme="minorEastAsia" w:eastAsiaTheme="minorEastAsia"/>
          <w:sz w:val="24"/>
          <w:szCs w:val="24"/>
        </w:rPr>
        <w:t>2个万兆光口,冗余电源,1个扩展槽位,防火墙</w:t>
      </w:r>
      <w:r>
        <w:rPr>
          <w:rFonts w:hint="eastAsia" w:asciiTheme="minorEastAsia" w:hAnsiTheme="minorEastAsia" w:eastAsiaTheme="minorEastAsia"/>
          <w:sz w:val="24"/>
          <w:szCs w:val="24"/>
        </w:rPr>
        <w:t>吞吐</w:t>
      </w:r>
      <w:r>
        <w:rPr>
          <w:rFonts w:asciiTheme="minorEastAsia" w:hAnsiTheme="minorEastAsia" w:eastAsiaTheme="minorEastAsia"/>
          <w:sz w:val="24"/>
          <w:szCs w:val="24"/>
        </w:rPr>
        <w:t>10G，IPSec 吞吐量≥3Gbps，IPS 吞吐量≥2Gbps；并发连接320 万，每秒新建连接12 万；含</w:t>
      </w:r>
      <w:r>
        <w:rPr>
          <w:rFonts w:hint="eastAsia" w:asciiTheme="minorEastAsia" w:hAnsiTheme="minorEastAsia" w:eastAsiaTheme="minorEastAsia"/>
          <w:sz w:val="24"/>
          <w:szCs w:val="24"/>
        </w:rPr>
        <w:t>两</w:t>
      </w:r>
      <w:r>
        <w:rPr>
          <w:rFonts w:asciiTheme="minorEastAsia" w:hAnsiTheme="minorEastAsia" w:eastAsiaTheme="minorEastAsia"/>
          <w:sz w:val="24"/>
          <w:szCs w:val="24"/>
        </w:rPr>
        <w:t>年入侵防病毒升级。</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支持标准VPN 功能，支持国密算法，支持L2TP /IPSEC VPN。</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支持常用数据交换技术，包括802.1Q VLAN Trunk、access 接口，VLAN 三层接口，子接口、GRE隧道；支持链路聚合功能；支持常用路由技术，包括静态路由、RIP、OSPF、策略路由等，确保可实现网络层主备链路之间的切换。</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支持端口联动功能，当上行/下行端口链路出现故障时，对应的另一端下行/上行端口自动切断链路。</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 IPV6环境部署，包括接口/区域配置、路由配置等网络适应性功能，支持IPV6的地址转换、双栈的过渡技术。</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支持入侵防护功能，包括跨站脚本攻击，IPS 漏洞防御，支持协议畸形检测。支持包括各类泛洪攻击、扫描攻击、欺骗攻击、异常报文攻击等常见网络攻击的防护。</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支持网络防病毒功能，内置防病毒特征库，能够对常见的网络病毒进行识别并阻断。</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支持通信层端口级别访问控制，并支持对匹配允许规则，但行为异常的流量进行检测，如各类利用合法端口进行的攻击行为。</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 HTTP、FTP、SMTP、POP3、IMAP、NFS 等协议的病毒防护。</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支持监控功能，显示最近被拦截的IP、地址对象及应用的节点信息；同时支持对连接数限制策略匹配信息进行分类统计，方便管理员根据统计分析结果进行相应的防护控制；</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支持在WEB界面进入CLI模式，执行系统配置、网络诊断、过滤抓包等命令，提高管理员运维效率；</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支持多个配置文件并存</w:t>
      </w:r>
      <w:r>
        <w:rPr>
          <w:rFonts w:hint="eastAsia" w:asciiTheme="minorEastAsia" w:hAnsiTheme="minorEastAsia" w:eastAsiaTheme="minorEastAsia"/>
          <w:sz w:val="24"/>
          <w:szCs w:val="24"/>
        </w:rPr>
        <w:t>。</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在WEB 界面提供资源监控开关，可对cpu占用率、内存占用率、磁盘占用率设置阈值；</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支持NTP流量检测清洗，能对NTP REQUEST FLOOD、NTP REPLY FLOOD 等攻击进行检测并提供基于NTP 请求限速、NTP 响应限速、源认证、会话认证的防御策略；</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支持常用数据交换技术，包括802.1Q VLAN Trunk、access 接口，VLAN 三层接口，子接口、GRE 隧道；支持链路聚合功能；支持常用路由技术，包括静态路由、RIP、OSPF、策略路由等，确保可实现网络层主备链路之间的切换。</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支持端口联动功能，当上行/下行端口链路出现故障时，对应的另一端下行/上行端口自动切断链路。</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 IPV6 环境部署，包括接口/区域配置、路由配置等网络适应性功能，支持IPV6 的地址转换、双栈的过渡技术。</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支持入侵防护功能，包括僵尸网络，IPS 漏洞防御，支持协议畸形检测。支持包括各类泛洪攻击、扫描攻击、欺骗攻击、异常报文攻击等常见网络攻击的防护。</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支持通信层端口级别访问控制，并支持对匹配允许规则，但行为异常的流量进行检测，如各类利用合法端口进行的攻击行为。</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 HTTP、FTP、SMTP、POP3、IMAP、NFS 等协议的病毒防护。</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支持应用控制、</w:t>
      </w:r>
      <w:r>
        <w:rPr>
          <w:rFonts w:asciiTheme="minorEastAsia" w:hAnsiTheme="minorEastAsia" w:eastAsiaTheme="minorEastAsia"/>
          <w:sz w:val="24"/>
          <w:szCs w:val="24"/>
        </w:rPr>
        <w:t>URL过滤、病毒防护、入侵防御、威胁情报检测、IPSec VPN、SSL VPN等功能</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集中管控功能，防火墙支持通过管理中心统一管理，实现统一部署，统一下发安全策略，包括访问控制策略、入侵防范策略以及防病毒策略等；可通过管理中心实现统一认证，无须对每台设备进行单独认证实现远程管理。</w:t>
      </w:r>
    </w:p>
    <w:p>
      <w:pPr>
        <w:pStyle w:val="3"/>
        <w:numPr>
          <w:ilvl w:val="0"/>
          <w:numId w:val="3"/>
        </w:numPr>
        <w:spacing w:before="0" w:after="0" w:line="360" w:lineRule="auto"/>
        <w:jc w:val="left"/>
        <w:rPr>
          <w:rFonts w:asciiTheme="minorEastAsia" w:hAnsiTheme="minorEastAsia" w:eastAsiaTheme="minorEastAsia"/>
          <w:sz w:val="24"/>
          <w:szCs w:val="24"/>
        </w:rPr>
      </w:pPr>
      <w:r>
        <w:rPr>
          <w:rFonts w:hint="eastAsia" w:asciiTheme="minorEastAsia" w:hAnsiTheme="minorEastAsia" w:eastAsiaTheme="minorEastAsia"/>
          <w:sz w:val="24"/>
          <w:szCs w:val="24"/>
        </w:rPr>
        <w:t>杀毒软件</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用于路段中心安全威胁监测与防御、终端安全态势展示与预警、终端安全威胁清除，确保终端的恶意代码防范能力，要求提供</w:t>
      </w:r>
      <w:r>
        <w:rPr>
          <w:rFonts w:asciiTheme="minorEastAsia" w:hAnsiTheme="minorEastAsia" w:eastAsiaTheme="minorEastAsia"/>
          <w:sz w:val="24"/>
          <w:szCs w:val="24"/>
        </w:rPr>
        <w:t xml:space="preserve"> B/S 访问及管理方式，支持不少于 80个客户端（服务器端不少于30个）防护授权。</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控制中心：采用 B/S 架构管理端，具备设备分组管理、策略制定下发、统一杀毒、统一漏洞修复、终端软件管理、硬件资产管理以及各种报表和查询等功能；客户端提供控制中心管理所需的相关数据信息，通讯可选择非明文方式；客户端执行最终的木马病毒查杀、漏洞修复等安全操作。</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产品支持终端保护密码，设置密码后，终端退出或卸载杀毒、或安装控制中心，都需要输入正确的密码方可执行；要求客户端程序具备自保功能，避免被恶意篡改；文件被加入白名单，客户端不再查杀，加入黑名单，客户端不可执行此文件；支持按病毒、木马、终端等维度统计全网病毒感染状况。</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可对备份区、隔离区的文件进行有效管理。能够对单个、指定的文件和全部文件，进行文件的删除、恢复等多项管理措施；对敲诈者病毒提供专有的防护功能；要求产品具备本地多引擎查杀能力，且引擎可配置。</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支持服务器端病毒库的定时更新和手动更新两种升级模式。</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支持可查杀 OFFICE 宏病毒，支持网络下载文件的病毒实时查杀、支持族群式变种病毒的查杀。</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支持终端进程黑名单、白名单功能；支持网址白名单，通过信任网址白名单可以管理企业网络内信任的网址，加入信任后终端不再将此网址视为威胁；支持网址黑名单，可设置终端不能访问的网址 URL，终端访问这些 URL 时会被拦截，并展示拦截记录。</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具备病毒爆发防御功能，当最新病毒爆发时，可在病毒代码未完成之前自动对企业网络中的病毒传播端口、共享等进行关闭，切断病毒传播途径，预防最新病毒的攻击。</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可赋予客户端对“预设扫描”的控制权限，比如延迟扫描、跳过扫描、停止扫描等。</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采用智能型扫描机制，能够以文件真正格式作扫描，通过文件头的真实信息而不是简单的通过文件扩展名来识别文件的类型，以提高扫描效率。</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病毒处理方式必须支持智能式的处理方式。根据不同的病毒类型，采取不同的处理策略。</w:t>
      </w:r>
    </w:p>
    <w:p>
      <w:pPr>
        <w:pStyle w:val="5"/>
        <w:widowControl/>
        <w:numPr>
          <w:ilvl w:val="0"/>
          <w:numId w:val="4"/>
        </w:numPr>
        <w:spacing w:after="0" w:line="360" w:lineRule="auto"/>
        <w:ind w:left="0" w:firstLine="480" w:firstLineChars="200"/>
        <w:jc w:val="left"/>
        <w:rPr>
          <w:rFonts w:asciiTheme="minorEastAsia" w:hAnsiTheme="minorEastAsia" w:eastAsiaTheme="minorEastAsia"/>
          <w:sz w:val="24"/>
          <w:szCs w:val="24"/>
        </w:rPr>
      </w:pPr>
      <w:r>
        <w:rPr>
          <w:rFonts w:asciiTheme="minorEastAsia" w:hAnsiTheme="minorEastAsia" w:eastAsiaTheme="minorEastAsia"/>
          <w:sz w:val="24"/>
          <w:szCs w:val="24"/>
        </w:rPr>
        <w:t>支持按功能细分的管理策略，支持在线策略、离线策略、通用策略，系统策略可以创建、修改、删除；策略可快速部署到组织、部门、机器、用户，支持多个策略叠加使用，支持用户策略与设备策略管理。</w:t>
      </w:r>
    </w:p>
    <w:p>
      <w:pPr>
        <w:numPr>
          <w:ilvl w:val="0"/>
          <w:numId w:val="0"/>
        </w:numPr>
        <w:topLinePunct/>
        <w:spacing w:line="360" w:lineRule="auto"/>
        <w:outlineLvl w:val="1"/>
        <w:rPr>
          <w:rFonts w:hint="default" w:ascii="Times New Roman" w:hAnsi="Times New Roman" w:cs="Times New Roman"/>
          <w:b/>
          <w:snapToGrid w:val="0"/>
          <w:color w:val="auto"/>
          <w:kern w:val="0"/>
          <w:sz w:val="24"/>
          <w:lang w:val="en-US" w:eastAsia="zh-CN"/>
        </w:rPr>
      </w:pP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供应商资格条件</w:t>
      </w:r>
    </w:p>
    <w:p>
      <w:pPr>
        <w:pStyle w:val="4"/>
        <w:rPr>
          <w:rFonts w:hint="default" w:ascii="Times New Roman" w:hAnsi="Times New Roman" w:cs="Times New Roman"/>
          <w:lang w:val="en-US" w:eastAsia="zh-CN"/>
        </w:rPr>
      </w:pPr>
      <w:r>
        <w:rPr>
          <w:rFonts w:hint="default" w:ascii="Times New Roman" w:hAnsi="Times New Roman" w:cs="Times New Roman"/>
          <w:color w:val="auto"/>
          <w:sz w:val="24"/>
          <w:highlight w:val="none"/>
          <w:lang w:val="en-US" w:eastAsia="zh-CN"/>
        </w:rPr>
        <w:t>信用信誉良好，所供设备</w:t>
      </w:r>
      <w:r>
        <w:rPr>
          <w:rFonts w:hint="default" w:ascii="Times New Roman" w:hAnsi="Times New Roman" w:cs="Times New Roman"/>
          <w:color w:val="auto"/>
          <w:sz w:val="24"/>
          <w:lang w:eastAsia="zh-CN"/>
        </w:rPr>
        <w:t>符合本工程量清单设备技术要求</w:t>
      </w:r>
      <w:r>
        <w:rPr>
          <w:rFonts w:hint="default" w:ascii="Times New Roman" w:hAnsi="Times New Roman" w:cs="Times New Roman"/>
          <w:color w:val="auto"/>
          <w:sz w:val="24"/>
          <w:highlight w:val="none"/>
          <w:lang w:val="en-US" w:eastAsia="zh-CN"/>
        </w:rPr>
        <w:t>。</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响应回执的递交</w:t>
      </w:r>
    </w:p>
    <w:p>
      <w:pPr>
        <w:spacing w:line="360" w:lineRule="auto"/>
        <w:ind w:firstLine="480" w:firstLineChars="200"/>
        <w:rPr>
          <w:rFonts w:hint="default" w:ascii="Times New Roman" w:hAnsi="Times New Roman" w:cs="Times New Roman"/>
          <w:snapToGrid w:val="0"/>
          <w:color w:val="000000"/>
          <w:kern w:val="0"/>
          <w:sz w:val="24"/>
        </w:rPr>
      </w:pPr>
      <w:r>
        <w:rPr>
          <w:rFonts w:hint="default" w:ascii="Times New Roman" w:hAnsi="Times New Roman" w:cs="Times New Roman"/>
          <w:color w:val="auto"/>
          <w:sz w:val="24"/>
        </w:rPr>
        <w:t>凡有意参加本次</w:t>
      </w:r>
      <w:r>
        <w:rPr>
          <w:rFonts w:hint="default" w:ascii="Times New Roman" w:hAnsi="Times New Roman" w:cs="Times New Roman"/>
          <w:color w:val="auto"/>
          <w:sz w:val="24"/>
          <w:lang w:eastAsia="zh-CN"/>
        </w:rPr>
        <w:t>采购且</w:t>
      </w:r>
      <w:r>
        <w:rPr>
          <w:rFonts w:hint="default" w:ascii="Times New Roman" w:hAnsi="Times New Roman" w:cs="Times New Roman"/>
          <w:color w:val="auto"/>
          <w:sz w:val="24"/>
          <w:highlight w:val="none"/>
          <w:lang w:val="en-US" w:eastAsia="zh-CN"/>
        </w:rPr>
        <w:t>具备履行本项目能力的</w:t>
      </w:r>
      <w:r>
        <w:rPr>
          <w:rFonts w:hint="default" w:ascii="Times New Roman" w:hAnsi="Times New Roman" w:cs="Times New Roman"/>
          <w:color w:val="auto"/>
          <w:sz w:val="24"/>
        </w:rPr>
        <w:t>供应商，</w:t>
      </w:r>
      <w:r>
        <w:rPr>
          <w:rFonts w:hint="default" w:ascii="Times New Roman" w:hAnsi="Times New Roman" w:cs="Times New Roman"/>
          <w:color w:val="auto"/>
          <w:sz w:val="24"/>
          <w:lang w:eastAsia="zh-CN"/>
        </w:rPr>
        <w:t>请</w:t>
      </w:r>
      <w:r>
        <w:rPr>
          <w:rFonts w:hint="default" w:ascii="Times New Roman" w:hAnsi="Times New Roman" w:cs="Times New Roman"/>
          <w:color w:val="000000"/>
          <w:sz w:val="24"/>
        </w:rPr>
        <w:t>将附于本</w:t>
      </w:r>
      <w:r>
        <w:rPr>
          <w:rFonts w:hint="default" w:ascii="Times New Roman" w:hAnsi="Times New Roman" w:cs="Times New Roman"/>
          <w:color w:val="000000"/>
          <w:sz w:val="24"/>
          <w:lang w:val="en-US" w:eastAsia="zh-CN"/>
        </w:rPr>
        <w:t>公告</w:t>
      </w:r>
      <w:r>
        <w:rPr>
          <w:rFonts w:hint="default" w:ascii="Times New Roman" w:hAnsi="Times New Roman" w:cs="Times New Roman"/>
          <w:color w:val="000000"/>
          <w:sz w:val="24"/>
        </w:rPr>
        <w:t>后的</w:t>
      </w:r>
      <w:r>
        <w:rPr>
          <w:rFonts w:hint="default" w:ascii="Times New Roman" w:hAnsi="Times New Roman" w:cs="Times New Roman"/>
          <w:color w:val="000000"/>
          <w:sz w:val="24"/>
          <w:lang w:val="en-US" w:eastAsia="zh-CN"/>
        </w:rPr>
        <w:t>响应</w:t>
      </w:r>
      <w:r>
        <w:rPr>
          <w:rFonts w:hint="default" w:ascii="Times New Roman" w:hAnsi="Times New Roman" w:cs="Times New Roman"/>
          <w:color w:val="000000"/>
          <w:sz w:val="24"/>
        </w:rPr>
        <w:t>回执在</w:t>
      </w:r>
      <w:r>
        <w:rPr>
          <w:rFonts w:hint="default" w:ascii="Times New Roman" w:hAnsi="Times New Roman" w:cs="Times New Roman"/>
          <w:color w:val="000000"/>
          <w:sz w:val="24"/>
          <w:u w:val="single"/>
          <w:lang w:val="en-US" w:eastAsia="zh-CN"/>
        </w:rPr>
        <w:t>2022</w:t>
      </w:r>
      <w:r>
        <w:rPr>
          <w:rFonts w:hint="default" w:ascii="Times New Roman" w:hAnsi="Times New Roman" w:cs="Times New Roman"/>
          <w:color w:val="000000"/>
          <w:sz w:val="24"/>
          <w:u w:val="single"/>
        </w:rPr>
        <w:t>年</w:t>
      </w:r>
      <w:r>
        <w:rPr>
          <w:rFonts w:hint="default" w:ascii="Times New Roman" w:hAnsi="Times New Roman" w:cs="Times New Roman"/>
          <w:color w:val="000000"/>
          <w:sz w:val="24"/>
          <w:u w:val="single"/>
          <w:lang w:val="en-US" w:eastAsia="zh-CN"/>
        </w:rPr>
        <w:t>1</w:t>
      </w:r>
      <w:r>
        <w:rPr>
          <w:rFonts w:hint="eastAsia" w:cs="Times New Roman"/>
          <w:color w:val="000000"/>
          <w:sz w:val="24"/>
          <w:u w:val="single"/>
          <w:lang w:val="en-US" w:eastAsia="zh-CN"/>
        </w:rPr>
        <w:t>2</w:t>
      </w:r>
      <w:r>
        <w:rPr>
          <w:rFonts w:hint="default" w:ascii="Times New Roman" w:hAnsi="Times New Roman" w:cs="Times New Roman"/>
          <w:color w:val="000000"/>
          <w:sz w:val="24"/>
          <w:u w:val="single"/>
        </w:rPr>
        <w:t>月</w:t>
      </w:r>
      <w:r>
        <w:rPr>
          <w:rFonts w:hint="eastAsia" w:cs="Times New Roman"/>
          <w:color w:val="000000"/>
          <w:sz w:val="24"/>
          <w:u w:val="single"/>
          <w:lang w:val="en-US" w:eastAsia="zh-CN"/>
        </w:rPr>
        <w:t>18</w:t>
      </w:r>
      <w:r>
        <w:rPr>
          <w:rFonts w:hint="default" w:ascii="Times New Roman" w:hAnsi="Times New Roman" w:cs="Times New Roman"/>
          <w:color w:val="000000"/>
          <w:sz w:val="24"/>
          <w:u w:val="single"/>
        </w:rPr>
        <w:t>日</w:t>
      </w:r>
      <w:r>
        <w:rPr>
          <w:rFonts w:hint="eastAsia" w:cs="Times New Roman"/>
          <w:color w:val="000000"/>
          <w:sz w:val="24"/>
          <w:u w:val="single"/>
          <w:lang w:val="en-US" w:eastAsia="zh-CN"/>
        </w:rPr>
        <w:t>16</w:t>
      </w:r>
      <w:r>
        <w:rPr>
          <w:rFonts w:hint="default" w:ascii="Times New Roman" w:hAnsi="Times New Roman" w:cs="Times New Roman"/>
          <w:color w:val="000000"/>
          <w:sz w:val="24"/>
          <w:u w:val="single"/>
          <w:lang w:val="en-US" w:eastAsia="zh-CN"/>
        </w:rPr>
        <w:t>：00</w:t>
      </w:r>
      <w:r>
        <w:rPr>
          <w:rFonts w:hint="default" w:ascii="Times New Roman" w:hAnsi="Times New Roman" w:cs="Times New Roman"/>
          <w:color w:val="000000"/>
          <w:sz w:val="24"/>
        </w:rPr>
        <w:t>之</w:t>
      </w:r>
      <w:r>
        <w:rPr>
          <w:rFonts w:hint="default" w:ascii="Times New Roman" w:hAnsi="Times New Roman" w:cs="Times New Roman"/>
          <w:color w:val="000000"/>
          <w:sz w:val="24"/>
          <w:lang w:eastAsia="zh-CN"/>
        </w:rPr>
        <w:t>前</w:t>
      </w:r>
      <w:r>
        <w:rPr>
          <w:rFonts w:hint="default" w:ascii="Times New Roman" w:hAnsi="Times New Roman" w:cs="Times New Roman"/>
          <w:color w:val="000000"/>
          <w:sz w:val="24"/>
        </w:rPr>
        <w:t>发送至</w:t>
      </w: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人邮箱：</w:t>
      </w:r>
      <w:r>
        <w:rPr>
          <w:rFonts w:hint="default" w:ascii="Times New Roman" w:hAnsi="Times New Roman" w:cs="Times New Roman"/>
          <w:color w:val="000000"/>
          <w:sz w:val="24"/>
          <w:lang w:val="en-US" w:eastAsia="zh-CN"/>
        </w:rPr>
        <w:t>1204355776</w:t>
      </w:r>
      <w:r>
        <w:rPr>
          <w:rFonts w:hint="default" w:ascii="Times New Roman" w:hAnsi="Times New Roman" w:cs="Times New Roman"/>
          <w:snapToGrid w:val="0"/>
          <w:color w:val="000000"/>
          <w:kern w:val="0"/>
          <w:sz w:val="24"/>
        </w:rPr>
        <w:t>@qq.com，</w:t>
      </w:r>
      <w:r>
        <w:rPr>
          <w:rFonts w:hint="default" w:ascii="Times New Roman" w:hAnsi="Times New Roman" w:cs="Times New Roman"/>
          <w:snapToGrid w:val="0"/>
          <w:color w:val="000000"/>
          <w:kern w:val="0"/>
          <w:sz w:val="24"/>
          <w:lang w:val="en-US" w:eastAsia="zh-CN"/>
        </w:rPr>
        <w:t>逾期无效。</w:t>
      </w:r>
      <w:r>
        <w:rPr>
          <w:rFonts w:hint="default" w:ascii="Times New Roman" w:hAnsi="Times New Roman" w:cs="Times New Roman"/>
          <w:snapToGrid w:val="0"/>
          <w:color w:val="000000"/>
          <w:kern w:val="0"/>
          <w:sz w:val="24"/>
          <w:lang w:eastAsia="zh-CN"/>
        </w:rPr>
        <w:t>采购</w:t>
      </w:r>
      <w:r>
        <w:rPr>
          <w:rFonts w:hint="default" w:ascii="Times New Roman" w:hAnsi="Times New Roman" w:cs="Times New Roman"/>
          <w:snapToGrid w:val="0"/>
          <w:color w:val="000000"/>
          <w:kern w:val="0"/>
          <w:sz w:val="24"/>
        </w:rPr>
        <w:t>人</w:t>
      </w:r>
      <w:r>
        <w:rPr>
          <w:rFonts w:hint="default" w:ascii="Times New Roman" w:hAnsi="Times New Roman" w:cs="Times New Roman"/>
          <w:snapToGrid w:val="0"/>
          <w:color w:val="000000"/>
          <w:kern w:val="0"/>
          <w:sz w:val="24"/>
          <w:lang w:val="en-US" w:eastAsia="zh-CN"/>
        </w:rPr>
        <w:t>在</w:t>
      </w:r>
      <w:r>
        <w:rPr>
          <w:rFonts w:hint="default" w:ascii="Times New Roman" w:hAnsi="Times New Roman" w:cs="Times New Roman"/>
          <w:snapToGrid w:val="0"/>
          <w:color w:val="000000"/>
          <w:kern w:val="0"/>
          <w:sz w:val="24"/>
        </w:rPr>
        <w:t>收到</w:t>
      </w:r>
      <w:r>
        <w:rPr>
          <w:rFonts w:hint="default" w:ascii="Times New Roman" w:hAnsi="Times New Roman" w:cs="Times New Roman"/>
          <w:snapToGrid w:val="0"/>
          <w:color w:val="000000"/>
          <w:kern w:val="0"/>
          <w:sz w:val="24"/>
          <w:lang w:val="en-US" w:eastAsia="zh-CN"/>
        </w:rPr>
        <w:t>响应</w:t>
      </w:r>
      <w:r>
        <w:rPr>
          <w:rFonts w:hint="default" w:ascii="Times New Roman" w:hAnsi="Times New Roman" w:cs="Times New Roman"/>
          <w:snapToGrid w:val="0"/>
          <w:color w:val="000000"/>
          <w:kern w:val="0"/>
          <w:sz w:val="24"/>
        </w:rPr>
        <w:t>回执后</w:t>
      </w:r>
      <w:r>
        <w:rPr>
          <w:rFonts w:hint="default" w:ascii="Times New Roman" w:hAnsi="Times New Roman"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bookmarkStart w:id="0" w:name="_Toc332965960"/>
      <w:bookmarkStart w:id="1" w:name="_Toc332793818"/>
      <w:bookmarkStart w:id="2" w:name="_Toc332793891"/>
      <w:r>
        <w:rPr>
          <w:rFonts w:hint="default" w:ascii="Times New Roman" w:hAnsi="Times New Roman" w:cs="Times New Roman"/>
          <w:b/>
          <w:snapToGrid w:val="0"/>
          <w:color w:val="auto"/>
          <w:kern w:val="0"/>
          <w:sz w:val="24"/>
          <w:lang w:val="en-US" w:eastAsia="zh-CN"/>
        </w:rPr>
        <w:t>联系方式</w:t>
      </w:r>
      <w:bookmarkEnd w:id="0"/>
      <w:bookmarkEnd w:id="1"/>
      <w:bookmarkEnd w:id="2"/>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采</w:t>
      </w:r>
      <w:r>
        <w:rPr>
          <w:rFonts w:hint="default" w:ascii="Times New Roman" w:hAnsi="Times New Roman" w:cs="Times New Roman"/>
          <w:color w:val="000000"/>
          <w:sz w:val="24"/>
        </w:rPr>
        <w:t xml:space="preserve">  </w:t>
      </w:r>
      <w:r>
        <w:rPr>
          <w:rFonts w:hint="default" w:ascii="Times New Roman" w:hAnsi="Times New Roman" w:cs="Times New Roman"/>
          <w:color w:val="000000"/>
          <w:sz w:val="24"/>
          <w:lang w:val="en-US" w:eastAsia="zh-CN"/>
        </w:rPr>
        <w:t>购</w:t>
      </w:r>
      <w:r>
        <w:rPr>
          <w:rFonts w:hint="default" w:ascii="Times New Roman" w:hAnsi="Times New Roman" w:cs="Times New Roman"/>
          <w:color w:val="000000"/>
          <w:sz w:val="24"/>
        </w:rPr>
        <w:t xml:space="preserve">  人：</w:t>
      </w: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人地址：广州市番禺区洛浦街道北环路87号道路研究院二号楼</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联  系  人：</w:t>
      </w:r>
      <w:r>
        <w:rPr>
          <w:rFonts w:hint="default" w:ascii="Times New Roman" w:hAnsi="Times New Roman" w:cs="Times New Roman"/>
          <w:color w:val="000000"/>
          <w:sz w:val="24"/>
          <w:lang w:val="en-US" w:eastAsia="zh-CN"/>
        </w:rPr>
        <w:t>刘工</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电      话：020-</w:t>
      </w:r>
      <w:r>
        <w:rPr>
          <w:rFonts w:hint="default" w:ascii="Times New Roman" w:hAnsi="Times New Roman" w:cs="Times New Roman"/>
          <w:color w:val="000000"/>
          <w:sz w:val="24"/>
          <w:lang w:val="en-US" w:eastAsia="zh-CN"/>
        </w:rPr>
        <w:t>39185740</w:t>
      </w:r>
    </w:p>
    <w:p>
      <w:pPr>
        <w:topLinePunct/>
        <w:spacing w:line="360" w:lineRule="auto"/>
        <w:jc w:val="right"/>
        <w:rPr>
          <w:rFonts w:hint="default" w:ascii="Times New Roman" w:hAnsi="Times New Roman" w:cs="Times New Roman"/>
          <w:color w:val="000000"/>
          <w:sz w:val="24"/>
        </w:rPr>
      </w:pP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jc w:val="center"/>
        <w:rPr>
          <w:rFonts w:hint="default" w:ascii="Times New Roman" w:hAnsi="Times New Roman" w:cs="Times New Roman"/>
          <w:color w:val="000000"/>
          <w:sz w:val="24"/>
        </w:rPr>
      </w:pPr>
      <w:r>
        <w:rPr>
          <w:rFonts w:hint="default" w:ascii="Times New Roman" w:hAnsi="Times New Roman" w:cs="Times New Roman"/>
          <w:color w:val="000000"/>
          <w:sz w:val="24"/>
        </w:rPr>
        <w:t xml:space="preserve">                                              20</w:t>
      </w:r>
      <w:r>
        <w:rPr>
          <w:rFonts w:hint="default" w:ascii="Times New Roman" w:hAnsi="Times New Roman" w:cs="Times New Roman"/>
          <w:color w:val="000000"/>
          <w:sz w:val="24"/>
          <w:lang w:val="en-US" w:eastAsia="zh-CN"/>
        </w:rPr>
        <w:t>22</w:t>
      </w:r>
      <w:r>
        <w:rPr>
          <w:rFonts w:hint="default" w:ascii="Times New Roman" w:hAnsi="Times New Roman" w:cs="Times New Roman"/>
          <w:color w:val="000000"/>
          <w:sz w:val="24"/>
        </w:rPr>
        <w:t>年</w:t>
      </w:r>
      <w:r>
        <w:rPr>
          <w:rFonts w:hint="default" w:ascii="Times New Roman" w:hAnsi="Times New Roman" w:cs="Times New Roman"/>
          <w:color w:val="000000"/>
          <w:sz w:val="24"/>
          <w:lang w:val="en-US" w:eastAsia="zh-CN"/>
        </w:rPr>
        <w:t>1</w:t>
      </w:r>
      <w:r>
        <w:rPr>
          <w:rFonts w:hint="eastAsia" w:cs="Times New Roman"/>
          <w:color w:val="000000"/>
          <w:sz w:val="24"/>
          <w:lang w:val="en-US" w:eastAsia="zh-CN"/>
        </w:rPr>
        <w:t>2</w:t>
      </w:r>
      <w:r>
        <w:rPr>
          <w:rFonts w:hint="default" w:ascii="Times New Roman" w:hAnsi="Times New Roman" w:cs="Times New Roman"/>
          <w:color w:val="000000"/>
          <w:sz w:val="24"/>
        </w:rPr>
        <w:t>月</w:t>
      </w:r>
      <w:r>
        <w:rPr>
          <w:rFonts w:hint="eastAsia" w:cs="Times New Roman"/>
          <w:color w:val="000000"/>
          <w:sz w:val="24"/>
          <w:lang w:val="en-US" w:eastAsia="zh-CN"/>
        </w:rPr>
        <w:t>1</w:t>
      </w:r>
      <w:r>
        <w:rPr>
          <w:rFonts w:hint="eastAsia" w:ascii="Times New Roman" w:hAnsi="Times New Roman" w:cs="Times New Roman"/>
          <w:color w:val="000000"/>
          <w:sz w:val="24"/>
          <w:lang w:val="en-US" w:eastAsia="zh-CN"/>
        </w:rPr>
        <w:t>5</w:t>
      </w:r>
      <w:r>
        <w:rPr>
          <w:rFonts w:hint="default" w:ascii="Times New Roman" w:hAnsi="Times New Roman" w:cs="Times New Roman"/>
          <w:color w:val="000000"/>
          <w:sz w:val="24"/>
        </w:rPr>
        <w:t>日</w:t>
      </w:r>
    </w:p>
    <w:p>
      <w:pPr>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CEC06D5F"/>
    <w:multiLevelType w:val="singleLevel"/>
    <w:tmpl w:val="CEC06D5F"/>
    <w:lvl w:ilvl="0" w:tentative="0">
      <w:start w:val="1"/>
      <w:numFmt w:val="decimal"/>
      <w:suff w:val="nothing"/>
      <w:lvlText w:val="（%1）"/>
      <w:lvlJc w:val="left"/>
    </w:lvl>
  </w:abstractNum>
  <w:abstractNum w:abstractNumId="2">
    <w:nsid w:val="42AF73CD"/>
    <w:multiLevelType w:val="multilevel"/>
    <w:tmpl w:val="42AF73CD"/>
    <w:lvl w:ilvl="0" w:tentative="0">
      <w:start w:val="1"/>
      <w:numFmt w:val="decimal"/>
      <w:lvlText w:val="%1."/>
      <w:lvlJc w:val="left"/>
      <w:pPr>
        <w:ind w:left="720" w:hanging="360"/>
      </w:pPr>
      <w:rPr>
        <w:rFonts w:hint="default"/>
      </w:rPr>
    </w:lvl>
    <w:lvl w:ilvl="1" w:tentative="0">
      <w:start w:val="1"/>
      <w:numFmt w:val="decimal"/>
      <w:isLgl/>
      <w:lvlText w:val="%1.%2"/>
      <w:lvlJc w:val="left"/>
      <w:pPr>
        <w:ind w:left="730" w:hanging="37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2160" w:hanging="180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abstractNum w:abstractNumId="3">
    <w:nsid w:val="748E4D68"/>
    <w:multiLevelType w:val="multilevel"/>
    <w:tmpl w:val="748E4D68"/>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mZWYwYjZjYWZmZmQxZjk0MGVkZjNjMjcxOTA3ZjgifQ=="/>
  </w:docVars>
  <w:rsids>
    <w:rsidRoot w:val="00172A27"/>
    <w:rsid w:val="08EE3671"/>
    <w:rsid w:val="0A69025B"/>
    <w:rsid w:val="0DA26991"/>
    <w:rsid w:val="112A7044"/>
    <w:rsid w:val="12ED5CBA"/>
    <w:rsid w:val="14C447F8"/>
    <w:rsid w:val="1E711553"/>
    <w:rsid w:val="20205D7D"/>
    <w:rsid w:val="2BB05A29"/>
    <w:rsid w:val="2E0860D1"/>
    <w:rsid w:val="2ECB5FE2"/>
    <w:rsid w:val="2F1E1DFB"/>
    <w:rsid w:val="2F454C9E"/>
    <w:rsid w:val="34DB5F68"/>
    <w:rsid w:val="36534A3E"/>
    <w:rsid w:val="3C047712"/>
    <w:rsid w:val="3E8C010F"/>
    <w:rsid w:val="3EFD65C9"/>
    <w:rsid w:val="4044389B"/>
    <w:rsid w:val="40C03B09"/>
    <w:rsid w:val="42037115"/>
    <w:rsid w:val="42100EF9"/>
    <w:rsid w:val="48AD79E8"/>
    <w:rsid w:val="49DC5C4D"/>
    <w:rsid w:val="4DA31AFF"/>
    <w:rsid w:val="515756D7"/>
    <w:rsid w:val="52871060"/>
    <w:rsid w:val="53713843"/>
    <w:rsid w:val="57BF2D4E"/>
    <w:rsid w:val="58B74CBC"/>
    <w:rsid w:val="5E8E770E"/>
    <w:rsid w:val="623B7383"/>
    <w:rsid w:val="63166D1A"/>
    <w:rsid w:val="65922BE0"/>
    <w:rsid w:val="6AC87D14"/>
    <w:rsid w:val="6C083654"/>
    <w:rsid w:val="6C094604"/>
    <w:rsid w:val="79E2018B"/>
    <w:rsid w:val="7C7F737F"/>
    <w:rsid w:val="7F263D72"/>
    <w:rsid w:val="7F4F5E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
    <w:name w:val="Normal Indent"/>
    <w:basedOn w:val="1"/>
    <w:qFormat/>
    <w:uiPriority w:val="99"/>
    <w:pPr>
      <w:ind w:firstLine="420" w:firstLineChars="200"/>
    </w:pPr>
  </w:style>
  <w:style w:type="paragraph" w:styleId="5">
    <w:name w:val="Body Text"/>
    <w:basedOn w:val="1"/>
    <w:unhideWhenUsed/>
    <w:qFormat/>
    <w:uiPriority w:val="99"/>
    <w:pPr>
      <w:spacing w:after="120"/>
    </w:pPr>
  </w:style>
  <w:style w:type="paragraph" w:styleId="6">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2560</Words>
  <Characters>2819</Characters>
  <Lines>0</Lines>
  <Paragraphs>0</Paragraphs>
  <TotalTime>1</TotalTime>
  <ScaleCrop>false</ScaleCrop>
  <LinksUpToDate>false</LinksUpToDate>
  <CharactersWithSpaces>2926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LYK</cp:lastModifiedBy>
  <cp:lastPrinted>2022-10-20T06:50:00Z</cp:lastPrinted>
  <dcterms:modified xsi:type="dcterms:W3CDTF">2022-12-16T02:12:29Z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B75484C30A0D48A998196F431A9A3E69</vt:lpwstr>
  </property>
</Properties>
</file>