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防雷器</w:t>
      </w:r>
      <w:bookmarkStart w:id="3" w:name="_GoBack"/>
      <w:bookmarkEnd w:id="3"/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8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745"/>
        <w:gridCol w:w="804"/>
        <w:gridCol w:w="951"/>
        <w:gridCol w:w="2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单相BC级电源防雷器(每套含第一级开关型B级防雷器2只、第二级限压型C级防雷器2只以及雷击计数器1只)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直流电源防雷器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以太网信号防雷器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三相电源防雷器 20A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三相电源防雷器 16A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以太网信号防雷器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单相电源防雷器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最大通流容量：40KA；最大持续运行电压：385VAC；电压保护水平：1500V；响应时间≤25ns；安装方式：模块化结构，标准导轨安装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直流电源防雷器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最大通流容量：20KA；最大持续运行电压：30V；电压保护水平：120V；响应时间≤25ns；安装方式：模块化结构，标准导轨安装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以太网信号防雷器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最大放电电流：单线10kA；静态门槛电压：1.5Un（额定工作电压）；动态电压（1Kv/μs）：2Un（额定工作电压）；频宽：2MHz；安装方式：模块化结构，标准导轨安装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指导安装调试费、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19894.00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电源防雷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① 在所有配电箱进线端每路加装</w:t>
      </w:r>
      <w:r>
        <w:rPr>
          <w:rFonts w:hint="default" w:ascii="Times New Roman" w:hAnsi="Times New Roman" w:eastAsia="Times New Roman"/>
          <w:sz w:val="24"/>
          <w:szCs w:val="24"/>
        </w:rPr>
        <w:t>40</w:t>
      </w:r>
      <w:r>
        <w:rPr>
          <w:rFonts w:hint="eastAsia" w:ascii="宋体" w:hAnsi="宋体" w:eastAsia="宋体"/>
          <w:sz w:val="24"/>
          <w:szCs w:val="24"/>
        </w:rPr>
        <w:t>－</w:t>
      </w:r>
      <w:r>
        <w:rPr>
          <w:rFonts w:hint="default" w:ascii="Times New Roman" w:hAnsi="Times New Roman" w:eastAsia="Times New Roman"/>
          <w:sz w:val="24"/>
          <w:szCs w:val="24"/>
        </w:rPr>
        <w:t xml:space="preserve">65KA </w:t>
      </w:r>
      <w:r>
        <w:rPr>
          <w:rFonts w:hint="eastAsia" w:ascii="宋体" w:hAnsi="宋体" w:eastAsia="宋体"/>
          <w:sz w:val="24"/>
          <w:szCs w:val="24"/>
        </w:rPr>
        <w:t>的过电压保护器。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② 所有监控外场设备机箱内电源进线端都必须加装</w:t>
      </w:r>
      <w:r>
        <w:rPr>
          <w:rFonts w:hint="default" w:ascii="Times New Roman" w:hAnsi="Times New Roman" w:eastAsia="Times New Roman"/>
          <w:sz w:val="24"/>
          <w:szCs w:val="24"/>
        </w:rPr>
        <w:t xml:space="preserve">15-40KA </w:t>
      </w:r>
      <w:r>
        <w:rPr>
          <w:rFonts w:hint="eastAsia" w:ascii="宋体" w:hAnsi="宋体" w:eastAsia="宋体"/>
          <w:sz w:val="24"/>
          <w:szCs w:val="24"/>
        </w:rPr>
        <w:t>的过电压保护器，当设备与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配电箱同址时，可不再设置过电压保护器。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设备性能如下：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——首级防护：</w:t>
      </w:r>
    </w:p>
    <w:p>
      <w:pPr>
        <w:wordWrap w:val="0"/>
        <w:spacing w:line="360" w:lineRule="auto"/>
        <w:rPr>
          <w:rFonts w:hint="default" w:ascii="Times New Roman" w:hAnsi="Times New Roman" w:eastAsia="Times New Roman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·最大放电电流：单模块</w:t>
      </w:r>
      <w:r>
        <w:rPr>
          <w:rFonts w:hint="default" w:ascii="Times New Roman" w:hAnsi="Times New Roman" w:eastAsia="Times New Roman"/>
          <w:sz w:val="24"/>
          <w:szCs w:val="24"/>
        </w:rPr>
        <w:t>40</w:t>
      </w:r>
      <w:r>
        <w:rPr>
          <w:rFonts w:hint="eastAsia" w:ascii="宋体" w:hAnsi="宋体" w:eastAsia="宋体"/>
          <w:sz w:val="24"/>
          <w:szCs w:val="24"/>
        </w:rPr>
        <w:t>～</w:t>
      </w:r>
      <w:r>
        <w:rPr>
          <w:rFonts w:hint="default" w:ascii="Times New Roman" w:hAnsi="Times New Roman" w:eastAsia="Times New Roman"/>
          <w:sz w:val="24"/>
          <w:szCs w:val="24"/>
        </w:rPr>
        <w:t>65kA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·最大持续耐压：单模块</w:t>
      </w:r>
      <w:r>
        <w:rPr>
          <w:rFonts w:hint="default" w:ascii="Times New Roman" w:hAnsi="Times New Roman" w:eastAsia="Times New Roman"/>
          <w:sz w:val="24"/>
          <w:szCs w:val="24"/>
        </w:rPr>
        <w:t>440Vrms</w:t>
      </w:r>
      <w:r>
        <w:rPr>
          <w:rFonts w:hint="eastAsia" w:ascii="宋体" w:hAnsi="宋体" w:eastAsia="宋体"/>
          <w:sz w:val="24"/>
          <w:szCs w:val="24"/>
        </w:rPr>
        <w:t>（有效值）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·保护电压</w:t>
      </w:r>
      <w:r>
        <w:rPr>
          <w:rFonts w:hint="default" w:ascii="Times New Roman" w:hAnsi="Times New Roman" w:eastAsia="Times New Roman"/>
          <w:sz w:val="24"/>
          <w:szCs w:val="24"/>
        </w:rPr>
        <w:t>/</w:t>
      </w:r>
      <w:r>
        <w:rPr>
          <w:rFonts w:hint="eastAsia" w:ascii="宋体" w:hAnsi="宋体" w:eastAsia="宋体"/>
          <w:sz w:val="24"/>
          <w:szCs w:val="24"/>
        </w:rPr>
        <w:t>测试电流：</w:t>
      </w:r>
      <w:r>
        <w:rPr>
          <w:rFonts w:hint="default" w:ascii="Times New Roman" w:hAnsi="Times New Roman" w:eastAsia="Times New Roman"/>
          <w:sz w:val="24"/>
          <w:szCs w:val="24"/>
        </w:rPr>
        <w:t>1.8kV</w:t>
      </w:r>
      <w:r>
        <w:rPr>
          <w:rFonts w:hint="eastAsia" w:ascii="宋体" w:hAnsi="宋体" w:eastAsia="宋体"/>
          <w:sz w:val="24"/>
          <w:szCs w:val="24"/>
        </w:rPr>
        <w:t>～</w:t>
      </w:r>
      <w:r>
        <w:rPr>
          <w:rFonts w:hint="default" w:ascii="Times New Roman" w:hAnsi="Times New Roman" w:eastAsia="Times New Roman"/>
          <w:sz w:val="24"/>
          <w:szCs w:val="24"/>
        </w:rPr>
        <w:t>2.0kV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·响应时间：</w:t>
      </w:r>
      <w:r>
        <w:rPr>
          <w:rFonts w:hint="default" w:ascii="Times New Roman" w:hAnsi="Times New Roman" w:eastAsia="Times New Roman"/>
          <w:sz w:val="24"/>
          <w:szCs w:val="24"/>
        </w:rPr>
        <w:t>25ns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·安装方式：模块化结构，标准导轨安装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·告警方式：有变色窗口，可视告警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——末级防护：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·最大放电电流：单模块</w:t>
      </w:r>
      <w:r>
        <w:rPr>
          <w:rFonts w:hint="default" w:ascii="Times New Roman" w:hAnsi="Times New Roman" w:eastAsia="Times New Roman"/>
          <w:sz w:val="24"/>
          <w:szCs w:val="24"/>
        </w:rPr>
        <w:t>15</w:t>
      </w:r>
      <w:r>
        <w:rPr>
          <w:rFonts w:hint="eastAsia" w:ascii="宋体" w:hAnsi="宋体" w:eastAsia="宋体"/>
          <w:sz w:val="24"/>
          <w:szCs w:val="24"/>
        </w:rPr>
        <w:t>～</w:t>
      </w:r>
      <w:r>
        <w:rPr>
          <w:rFonts w:hint="default" w:ascii="Times New Roman" w:hAnsi="Times New Roman" w:eastAsia="Times New Roman"/>
          <w:sz w:val="24"/>
          <w:szCs w:val="24"/>
        </w:rPr>
        <w:t>40kA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·最大持续耐压：单模块</w:t>
      </w:r>
      <w:r>
        <w:rPr>
          <w:rFonts w:hint="default" w:ascii="Times New Roman" w:hAnsi="Times New Roman" w:eastAsia="Times New Roman"/>
          <w:sz w:val="24"/>
          <w:szCs w:val="24"/>
        </w:rPr>
        <w:t>440Vrms</w:t>
      </w:r>
      <w:r>
        <w:rPr>
          <w:rFonts w:hint="eastAsia" w:ascii="宋体" w:hAnsi="宋体" w:eastAsia="宋体"/>
          <w:sz w:val="24"/>
          <w:szCs w:val="24"/>
        </w:rPr>
        <w:t>（有效值）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·保护电压</w:t>
      </w:r>
      <w:r>
        <w:rPr>
          <w:rFonts w:hint="default" w:ascii="Times New Roman" w:hAnsi="Times New Roman" w:eastAsia="Times New Roman"/>
          <w:sz w:val="24"/>
          <w:szCs w:val="24"/>
        </w:rPr>
        <w:t>/</w:t>
      </w:r>
      <w:r>
        <w:rPr>
          <w:rFonts w:hint="eastAsia" w:ascii="宋体" w:hAnsi="宋体" w:eastAsia="宋体"/>
          <w:sz w:val="24"/>
          <w:szCs w:val="24"/>
        </w:rPr>
        <w:t>测试电流：</w:t>
      </w:r>
      <w:r>
        <w:rPr>
          <w:rFonts w:hint="default" w:ascii="Times New Roman" w:hAnsi="Times New Roman" w:eastAsia="Times New Roman"/>
          <w:sz w:val="24"/>
          <w:szCs w:val="24"/>
        </w:rPr>
        <w:t>1.8kV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·响应时间：</w:t>
      </w:r>
      <w:r>
        <w:rPr>
          <w:rFonts w:hint="default" w:ascii="Times New Roman" w:hAnsi="Times New Roman" w:eastAsia="Times New Roman"/>
          <w:sz w:val="24"/>
          <w:szCs w:val="24"/>
        </w:rPr>
        <w:t>25ns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·安装方式：模块化结构，标准导轨安装</w:t>
      </w:r>
    </w:p>
    <w:p>
      <w:pPr>
        <w:wordWrap w:val="0"/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·告警方式：有变色窗口，可视告警。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信号防雷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在外场设备的信号线（外场）处安装网络</w:t>
      </w:r>
      <w:r>
        <w:rPr>
          <w:rFonts w:hint="eastAsia" w:ascii="Times New Roman" w:hAnsi="Times New Roman" w:eastAsia="Times New Roman"/>
          <w:sz w:val="24"/>
          <w:szCs w:val="24"/>
        </w:rPr>
        <w:t>/</w:t>
      </w:r>
      <w:r>
        <w:rPr>
          <w:rFonts w:hint="eastAsia" w:ascii="瀹嬩綋" w:hAnsi="瀹嬩綋" w:eastAsia="瀹嬩綋"/>
          <w:sz w:val="24"/>
          <w:szCs w:val="24"/>
        </w:rPr>
        <w:t>数据信号防雷器。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设备性能如下：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Times New Roman" w:hAnsi="Times New Roman" w:eastAsia="Times New Roman"/>
          <w:sz w:val="24"/>
          <w:szCs w:val="24"/>
        </w:rPr>
        <w:t>——</w:t>
      </w:r>
      <w:r>
        <w:rPr>
          <w:rFonts w:hint="eastAsia" w:ascii="瀹嬩綋" w:hAnsi="瀹嬩綋" w:eastAsia="瀹嬩綋"/>
          <w:sz w:val="24"/>
          <w:szCs w:val="24"/>
        </w:rPr>
        <w:t>网络信号防雷器：</w:t>
      </w:r>
    </w:p>
    <w:p>
      <w:pPr>
        <w:spacing w:beforeLines="0" w:afterLines="0"/>
        <w:jc w:val="left"/>
        <w:rPr>
          <w:rFonts w:hint="eastAsia" w:ascii="Times New Roman" w:hAnsi="Times New Roman" w:eastAsia="Times New Roman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·最大放电电流：单线</w:t>
      </w:r>
      <w:r>
        <w:rPr>
          <w:rFonts w:hint="eastAsia" w:ascii="Times New Roman" w:hAnsi="Times New Roman" w:eastAsia="Times New Roman"/>
          <w:sz w:val="24"/>
          <w:szCs w:val="24"/>
        </w:rPr>
        <w:t>10kA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·静态门槛电压：</w:t>
      </w:r>
      <w:r>
        <w:rPr>
          <w:rFonts w:hint="eastAsia" w:ascii="Times New Roman" w:hAnsi="Times New Roman" w:eastAsia="Times New Roman"/>
          <w:sz w:val="24"/>
          <w:szCs w:val="24"/>
        </w:rPr>
        <w:t>1.5Un</w:t>
      </w:r>
      <w:r>
        <w:rPr>
          <w:rFonts w:hint="eastAsia" w:ascii="瀹嬩綋" w:hAnsi="瀹嬩綋" w:eastAsia="瀹嬩綋"/>
          <w:sz w:val="24"/>
          <w:szCs w:val="24"/>
        </w:rPr>
        <w:t>（额定工作电压）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·动态电压（</w:t>
      </w:r>
      <w:r>
        <w:rPr>
          <w:rFonts w:hint="eastAsia" w:ascii="Times New Roman" w:hAnsi="Times New Roman" w:eastAsia="Times New Roman"/>
          <w:sz w:val="24"/>
          <w:szCs w:val="24"/>
        </w:rPr>
        <w:t>1Kv/</w:t>
      </w:r>
      <w:r>
        <w:rPr>
          <w:rFonts w:hint="eastAsia" w:ascii="瀹嬩綋" w:hAnsi="瀹嬩綋" w:eastAsia="瀹嬩綋"/>
          <w:sz w:val="24"/>
          <w:szCs w:val="24"/>
        </w:rPr>
        <w:t>μ</w:t>
      </w:r>
      <w:r>
        <w:rPr>
          <w:rFonts w:hint="eastAsia" w:ascii="Times New Roman" w:hAnsi="Times New Roman" w:eastAsia="Times New Roman"/>
          <w:sz w:val="24"/>
          <w:szCs w:val="24"/>
        </w:rPr>
        <w:t>s</w:t>
      </w:r>
      <w:r>
        <w:rPr>
          <w:rFonts w:hint="eastAsia" w:ascii="瀹嬩綋" w:hAnsi="瀹嬩綋" w:eastAsia="瀹嬩綋"/>
          <w:sz w:val="24"/>
          <w:szCs w:val="24"/>
        </w:rPr>
        <w:t>）：</w:t>
      </w:r>
      <w:r>
        <w:rPr>
          <w:rFonts w:hint="eastAsia" w:ascii="Times New Roman" w:hAnsi="Times New Roman" w:eastAsia="Times New Roman"/>
          <w:sz w:val="24"/>
          <w:szCs w:val="24"/>
        </w:rPr>
        <w:t>2Un</w:t>
      </w:r>
      <w:r>
        <w:rPr>
          <w:rFonts w:hint="eastAsia" w:ascii="瀹嬩綋" w:hAnsi="瀹嬩綋" w:eastAsia="瀹嬩綋"/>
          <w:sz w:val="24"/>
          <w:szCs w:val="24"/>
        </w:rPr>
        <w:t>（额定工作电压）</w:t>
      </w:r>
    </w:p>
    <w:p>
      <w:pPr>
        <w:spacing w:beforeLines="0" w:afterLines="0"/>
        <w:jc w:val="left"/>
        <w:rPr>
          <w:rFonts w:hint="eastAsia" w:ascii="Times New Roman" w:hAnsi="Times New Roman" w:eastAsia="Times New Roman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·频宽：</w:t>
      </w:r>
      <w:r>
        <w:rPr>
          <w:rFonts w:hint="eastAsia" w:ascii="Times New Roman" w:hAnsi="Times New Roman" w:eastAsia="Times New Roman"/>
          <w:sz w:val="24"/>
          <w:szCs w:val="24"/>
        </w:rPr>
        <w:t>2MHz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·安装方式：模块化结构，标准导轨安装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——数据信号防雷器：</w:t>
      </w:r>
    </w:p>
    <w:p>
      <w:pPr>
        <w:spacing w:beforeLines="0" w:afterLines="0"/>
        <w:jc w:val="left"/>
        <w:rPr>
          <w:rFonts w:hint="eastAsia" w:ascii="Times New Roman" w:hAnsi="Times New Roman" w:eastAsia="Times New Roman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·防雷器设定电压</w:t>
      </w:r>
      <w:r>
        <w:rPr>
          <w:rFonts w:hint="eastAsia" w:ascii="Times New Roman" w:hAnsi="Times New Roman" w:eastAsia="Times New Roman"/>
          <w:sz w:val="24"/>
          <w:szCs w:val="24"/>
        </w:rPr>
        <w:t>Uc</w:t>
      </w:r>
      <w:r>
        <w:rPr>
          <w:rFonts w:hint="eastAsia" w:ascii="瀹嬩綋" w:hAnsi="瀹嬩綋" w:eastAsia="瀹嬩綋"/>
          <w:sz w:val="24"/>
          <w:szCs w:val="24"/>
        </w:rPr>
        <w:t xml:space="preserve">： </w:t>
      </w:r>
      <w:r>
        <w:rPr>
          <w:rFonts w:hint="eastAsia" w:ascii="Times New Roman" w:hAnsi="Times New Roman" w:eastAsia="Times New Roman"/>
          <w:sz w:val="24"/>
          <w:szCs w:val="24"/>
        </w:rPr>
        <w:t>14V DC</w:t>
      </w:r>
    </w:p>
    <w:p>
      <w:pPr>
        <w:spacing w:beforeLines="0" w:afterLines="0"/>
        <w:jc w:val="left"/>
        <w:rPr>
          <w:rFonts w:hint="eastAsia" w:ascii="Times New Roman" w:hAnsi="Times New Roman" w:eastAsia="Times New Roman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·标称电流</w:t>
      </w:r>
      <w:r>
        <w:rPr>
          <w:rFonts w:hint="eastAsia" w:ascii="Times New Roman" w:hAnsi="Times New Roman" w:eastAsia="Times New Roman"/>
          <w:sz w:val="24"/>
          <w:szCs w:val="24"/>
        </w:rPr>
        <w:t>IN</w:t>
      </w:r>
      <w:r>
        <w:rPr>
          <w:rFonts w:hint="eastAsia" w:ascii="瀹嬩綋" w:hAnsi="瀹嬩綋" w:eastAsia="瀹嬩綋"/>
          <w:sz w:val="24"/>
          <w:szCs w:val="24"/>
        </w:rPr>
        <w:t xml:space="preserve">： </w:t>
      </w:r>
      <w:r>
        <w:rPr>
          <w:rFonts w:hint="eastAsia" w:ascii="Times New Roman" w:hAnsi="Times New Roman" w:eastAsia="Times New Roman"/>
          <w:sz w:val="24"/>
          <w:szCs w:val="24"/>
        </w:rPr>
        <w:t>450mA</w:t>
      </w:r>
    </w:p>
    <w:p>
      <w:pPr>
        <w:spacing w:beforeLines="0" w:afterLines="0"/>
        <w:jc w:val="left"/>
        <w:rPr>
          <w:rFonts w:hint="eastAsia" w:ascii="Times New Roman" w:hAnsi="Times New Roman" w:eastAsia="Times New Roman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·额定放电电流</w:t>
      </w:r>
      <w:r>
        <w:rPr>
          <w:rFonts w:hint="eastAsia" w:ascii="Times New Roman" w:hAnsi="Times New Roman" w:eastAsia="Times New Roman"/>
          <w:sz w:val="24"/>
          <w:szCs w:val="24"/>
        </w:rPr>
        <w:t>In</w:t>
      </w:r>
      <w:r>
        <w:rPr>
          <w:rFonts w:hint="eastAsia" w:ascii="瀹嬩綋" w:hAnsi="瀹嬩綋" w:eastAsia="瀹嬩綋"/>
          <w:sz w:val="24"/>
          <w:szCs w:val="24"/>
        </w:rPr>
        <w:t>（</w:t>
      </w:r>
      <w:r>
        <w:rPr>
          <w:rFonts w:hint="eastAsia" w:ascii="Times New Roman" w:hAnsi="Times New Roman" w:eastAsia="Times New Roman"/>
          <w:sz w:val="24"/>
          <w:szCs w:val="24"/>
        </w:rPr>
        <w:t>8/20</w:t>
      </w:r>
      <w:r>
        <w:rPr>
          <w:rFonts w:hint="eastAsia" w:ascii="瀹嬩綋" w:hAnsi="瀹嬩綋" w:eastAsia="瀹嬩綋"/>
          <w:sz w:val="24"/>
          <w:szCs w:val="24"/>
        </w:rPr>
        <w:t>）</w:t>
      </w:r>
      <w:r>
        <w:rPr>
          <w:rFonts w:hint="eastAsia" w:ascii="Times New Roman" w:hAnsi="Times New Roman" w:eastAsia="Times New Roman"/>
          <w:sz w:val="24"/>
          <w:szCs w:val="24"/>
        </w:rPr>
        <w:t>us</w:t>
      </w:r>
      <w:r>
        <w:rPr>
          <w:rFonts w:hint="eastAsia" w:ascii="瀹嬩綋" w:hAnsi="瀹嬩綋" w:eastAsia="瀹嬩綋"/>
          <w:sz w:val="24"/>
          <w:szCs w:val="24"/>
        </w:rPr>
        <w:t xml:space="preserve">： </w:t>
      </w:r>
      <w:r>
        <w:rPr>
          <w:rFonts w:hint="eastAsia" w:ascii="Times New Roman" w:hAnsi="Times New Roman" w:eastAsia="Times New Roman"/>
          <w:sz w:val="24"/>
          <w:szCs w:val="24"/>
        </w:rPr>
        <w:t>10 kA</w:t>
      </w:r>
    </w:p>
    <w:p>
      <w:pPr>
        <w:spacing w:beforeLines="0" w:afterLines="0"/>
        <w:jc w:val="left"/>
        <w:rPr>
          <w:rFonts w:hint="eastAsia" w:ascii="Times New Roman" w:hAnsi="Times New Roman" w:eastAsia="Times New Roman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·残余浪涌电流（</w:t>
      </w:r>
      <w:r>
        <w:rPr>
          <w:rFonts w:hint="eastAsia" w:ascii="Times New Roman" w:hAnsi="Times New Roman" w:eastAsia="Times New Roman"/>
          <w:sz w:val="24"/>
          <w:szCs w:val="24"/>
        </w:rPr>
        <w:t>8/20</w:t>
      </w:r>
      <w:r>
        <w:rPr>
          <w:rFonts w:hint="eastAsia" w:ascii="瀹嬩綋" w:hAnsi="瀹嬩綋" w:eastAsia="瀹嬩綋"/>
          <w:sz w:val="24"/>
          <w:szCs w:val="24"/>
        </w:rPr>
        <w:t>）</w:t>
      </w:r>
      <w:r>
        <w:rPr>
          <w:rFonts w:hint="eastAsia" w:ascii="Times New Roman" w:hAnsi="Times New Roman" w:eastAsia="Times New Roman"/>
          <w:sz w:val="24"/>
          <w:szCs w:val="24"/>
        </w:rPr>
        <w:t>us</w:t>
      </w:r>
      <w:r>
        <w:rPr>
          <w:rFonts w:hint="eastAsia" w:ascii="瀹嬩綋" w:hAnsi="瀹嬩綋" w:eastAsia="瀹嬩綋"/>
          <w:sz w:val="24"/>
          <w:szCs w:val="24"/>
        </w:rPr>
        <w:t>：芯</w:t>
      </w:r>
      <w:r>
        <w:rPr>
          <w:rFonts w:hint="eastAsia" w:ascii="Times New Roman" w:hAnsi="Times New Roman" w:eastAsia="Times New Roman"/>
          <w:sz w:val="24"/>
          <w:szCs w:val="24"/>
        </w:rPr>
        <w:t>-</w:t>
      </w:r>
      <w:r>
        <w:rPr>
          <w:rFonts w:hint="eastAsia" w:ascii="瀹嬩綋" w:hAnsi="瀹嬩綋" w:eastAsia="瀹嬩綋"/>
          <w:sz w:val="24"/>
          <w:szCs w:val="24"/>
        </w:rPr>
        <w:t>地：</w:t>
      </w:r>
      <w:r>
        <w:rPr>
          <w:rFonts w:hint="eastAsia" w:ascii="Times New Roman" w:hAnsi="Times New Roman" w:eastAsia="Times New Roman"/>
          <w:sz w:val="24"/>
          <w:szCs w:val="24"/>
        </w:rPr>
        <w:t>20 kA</w:t>
      </w:r>
    </w:p>
    <w:p>
      <w:pPr>
        <w:spacing w:beforeLines="0" w:afterLines="0"/>
        <w:jc w:val="left"/>
        <w:rPr>
          <w:rFonts w:hint="eastAsia" w:ascii="Times New Roman" w:hAnsi="Times New Roman" w:eastAsia="Times New Roman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·响应时间</w:t>
      </w:r>
      <w:r>
        <w:rPr>
          <w:rFonts w:hint="eastAsia" w:ascii="Times New Roman" w:hAnsi="Times New Roman" w:eastAsia="Times New Roman"/>
          <w:sz w:val="24"/>
          <w:szCs w:val="24"/>
        </w:rPr>
        <w:t xml:space="preserve"> </w:t>
      </w:r>
      <w:r>
        <w:rPr>
          <w:rFonts w:hint="eastAsia" w:ascii="瀹嬩綋" w:hAnsi="瀹嬩綋" w:eastAsia="瀹嬩綋"/>
          <w:sz w:val="24"/>
          <w:szCs w:val="24"/>
        </w:rPr>
        <w:t>芯</w:t>
      </w:r>
      <w:r>
        <w:rPr>
          <w:rFonts w:hint="eastAsia" w:ascii="Times New Roman" w:hAnsi="Times New Roman" w:eastAsia="Times New Roman"/>
          <w:sz w:val="24"/>
          <w:szCs w:val="24"/>
        </w:rPr>
        <w:t>-</w:t>
      </w:r>
      <w:r>
        <w:rPr>
          <w:rFonts w:hint="eastAsia" w:ascii="瀹嬩綋" w:hAnsi="瀹嬩綋" w:eastAsia="瀹嬩綋"/>
          <w:sz w:val="24"/>
          <w:szCs w:val="24"/>
        </w:rPr>
        <w:t>芯</w:t>
      </w:r>
      <w:r>
        <w:rPr>
          <w:rFonts w:hint="eastAsia" w:ascii="Times New Roman" w:hAnsi="Times New Roman" w:eastAsia="Times New Roman"/>
          <w:sz w:val="24"/>
          <w:szCs w:val="24"/>
        </w:rPr>
        <w:t>/</w:t>
      </w:r>
      <w:r>
        <w:rPr>
          <w:rFonts w:hint="eastAsia" w:ascii="瀹嬩綋" w:hAnsi="瀹嬩綋" w:eastAsia="瀹嬩綋"/>
          <w:sz w:val="24"/>
          <w:szCs w:val="24"/>
        </w:rPr>
        <w:t>芯</w:t>
      </w:r>
      <w:r>
        <w:rPr>
          <w:rFonts w:hint="eastAsia" w:ascii="Times New Roman" w:hAnsi="Times New Roman" w:eastAsia="Times New Roman"/>
          <w:sz w:val="24"/>
          <w:szCs w:val="24"/>
        </w:rPr>
        <w:t>-</w:t>
      </w:r>
      <w:r>
        <w:rPr>
          <w:rFonts w:hint="eastAsia" w:ascii="瀹嬩綋" w:hAnsi="瀹嬩綋" w:eastAsia="瀹嬩綋"/>
          <w:sz w:val="24"/>
          <w:szCs w:val="24"/>
        </w:rPr>
        <w:t>地 ≤</w:t>
      </w:r>
      <w:r>
        <w:rPr>
          <w:rFonts w:hint="eastAsia" w:ascii="Times New Roman" w:hAnsi="Times New Roman" w:eastAsia="Times New Roman"/>
          <w:sz w:val="24"/>
          <w:szCs w:val="24"/>
        </w:rPr>
        <w:t>500 ns /</w:t>
      </w:r>
      <w:r>
        <w:rPr>
          <w:rFonts w:hint="eastAsia" w:ascii="瀹嬩綋" w:hAnsi="瀹嬩綋" w:eastAsia="瀹嬩綋"/>
          <w:sz w:val="24"/>
          <w:szCs w:val="24"/>
        </w:rPr>
        <w:t>≤</w:t>
      </w:r>
      <w:r>
        <w:rPr>
          <w:rFonts w:hint="eastAsia" w:ascii="Times New Roman" w:hAnsi="Times New Roman" w:eastAsia="Times New Roman"/>
          <w:sz w:val="24"/>
          <w:szCs w:val="24"/>
        </w:rPr>
        <w:t>500 ns</w:t>
      </w:r>
    </w:p>
    <w:p>
      <w:pPr>
        <w:spacing w:beforeLines="0" w:afterLines="0"/>
        <w:jc w:val="left"/>
        <w:rPr>
          <w:rFonts w:hint="eastAsia" w:ascii="瀹嬩綋" w:hAnsi="瀹嬩綋" w:eastAsia="瀹嬩綋"/>
          <w:sz w:val="24"/>
          <w:szCs w:val="24"/>
        </w:rPr>
      </w:pPr>
      <w:r>
        <w:rPr>
          <w:rFonts w:hint="eastAsia" w:ascii="瀹嬩綋" w:hAnsi="瀹嬩綋" w:eastAsia="瀹嬩綋"/>
          <w:sz w:val="24"/>
          <w:szCs w:val="24"/>
        </w:rPr>
        <w:t>·温度范围在</w:t>
      </w:r>
      <w:r>
        <w:rPr>
          <w:rFonts w:hint="eastAsia" w:ascii="Times New Roman" w:hAnsi="Times New Roman" w:eastAsia="Times New Roman"/>
          <w:sz w:val="24"/>
          <w:szCs w:val="24"/>
        </w:rPr>
        <w:t>-40</w:t>
      </w:r>
      <w:r>
        <w:rPr>
          <w:rFonts w:hint="eastAsia" w:ascii="瀹嬩綋" w:hAnsi="瀹嬩綋" w:eastAsia="瀹嬩綋"/>
          <w:sz w:val="24"/>
          <w:szCs w:val="24"/>
        </w:rPr>
        <w:t>℃至</w:t>
      </w:r>
      <w:r>
        <w:rPr>
          <w:rFonts w:hint="eastAsia" w:ascii="Times New Roman" w:hAnsi="Times New Roman" w:eastAsia="Times New Roman"/>
          <w:sz w:val="24"/>
          <w:szCs w:val="24"/>
        </w:rPr>
        <w:t>+85</w:t>
      </w:r>
      <w:r>
        <w:rPr>
          <w:rFonts w:hint="eastAsia" w:ascii="瀹嬩綋" w:hAnsi="瀹嬩綋" w:eastAsia="瀹嬩綋"/>
          <w:sz w:val="24"/>
          <w:szCs w:val="24"/>
        </w:rPr>
        <w:t>℃</w:t>
      </w:r>
    </w:p>
    <w:p>
      <w:pPr>
        <w:wordWrap w:val="0"/>
        <w:spacing w:line="360" w:lineRule="auto"/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zh-CN" w:eastAsia="zh-CN" w:bidi="ar-SA"/>
        </w:rPr>
      </w:pPr>
      <w:r>
        <w:rPr>
          <w:rFonts w:hint="eastAsia" w:ascii="瀹嬩綋" w:hAnsi="瀹嬩綋" w:eastAsia="瀹嬩綋"/>
          <w:sz w:val="24"/>
          <w:szCs w:val="24"/>
        </w:rPr>
        <w:t>·保护等级为</w:t>
      </w:r>
      <w:r>
        <w:rPr>
          <w:rFonts w:hint="eastAsia" w:ascii="Times New Roman" w:hAnsi="Times New Roman" w:eastAsia="Times New Roman"/>
          <w:sz w:val="24"/>
          <w:szCs w:val="24"/>
        </w:rPr>
        <w:t>IP20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瀹嬩綋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46E3765"/>
    <w:rsid w:val="072D08E0"/>
    <w:rsid w:val="08EE3671"/>
    <w:rsid w:val="0A69025B"/>
    <w:rsid w:val="0DA26991"/>
    <w:rsid w:val="112A7044"/>
    <w:rsid w:val="12ED5CBA"/>
    <w:rsid w:val="14C447F8"/>
    <w:rsid w:val="1DC008E5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D393A69"/>
    <w:rsid w:val="2E0860D1"/>
    <w:rsid w:val="2ECB5FE2"/>
    <w:rsid w:val="34DB5F68"/>
    <w:rsid w:val="35912415"/>
    <w:rsid w:val="3C047712"/>
    <w:rsid w:val="3DD1395F"/>
    <w:rsid w:val="3E8C010F"/>
    <w:rsid w:val="3EFD65C9"/>
    <w:rsid w:val="400E2C48"/>
    <w:rsid w:val="4044389B"/>
    <w:rsid w:val="40C03B09"/>
    <w:rsid w:val="42100EF9"/>
    <w:rsid w:val="434B112E"/>
    <w:rsid w:val="48AD79E8"/>
    <w:rsid w:val="49DC5C4D"/>
    <w:rsid w:val="4A44006F"/>
    <w:rsid w:val="4DA31AFF"/>
    <w:rsid w:val="4DB34E2F"/>
    <w:rsid w:val="50DE6FEF"/>
    <w:rsid w:val="515756D7"/>
    <w:rsid w:val="52871060"/>
    <w:rsid w:val="52ED4007"/>
    <w:rsid w:val="560F1B9D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6E354925"/>
    <w:rsid w:val="6E4A295F"/>
    <w:rsid w:val="710B2708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1226</Words>
  <Characters>1438</Characters>
  <Lines>0</Lines>
  <Paragraphs>0</Paragraphs>
  <TotalTime>1</TotalTime>
  <ScaleCrop>false</ScaleCrop>
  <LinksUpToDate>false</LinksUpToDate>
  <CharactersWithSpaces>1516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2022-12-15T08:33:54Z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