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京珠国道主干线绕广州公路东环段（东二环）龙头山隧道老旧改设施更换工程LED诱导标采购意向征集公告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京珠国道主干线绕广州公路东环段（东二环）龙头山隧道老旧改设施更换工程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1.2项目地点：广州珠江黄埔大桥管理中心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5"/>
        <w:tblW w:w="59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1852"/>
        <w:gridCol w:w="935"/>
        <w:gridCol w:w="1122"/>
        <w:gridCol w:w="12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2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9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12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821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85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LED诱导标</w:t>
            </w:r>
          </w:p>
        </w:tc>
        <w:tc>
          <w:tcPr>
            <w:tcW w:w="9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只</w:t>
            </w:r>
          </w:p>
        </w:tc>
        <w:tc>
          <w:tcPr>
            <w:tcW w:w="112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250" w:type="dxa"/>
            <w:shd w:val="clear" w:color="auto" w:fill="auto"/>
            <w:vAlign w:val="center"/>
          </w:tcPr>
          <w:p>
            <w:pPr>
              <w:spacing w:beforeLines="0" w:afterLines="0"/>
              <w:jc w:val="left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eastAsia="zh-CN"/>
        </w:rPr>
        <w:t>指导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安装费、保险费、税费、试运行及缺陷的维护等一切费用；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40000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cs="Times New Roman"/>
          <w:b/>
          <w:snapToGrid w:val="0"/>
          <w:color w:val="auto"/>
          <w:kern w:val="0"/>
          <w:sz w:val="24"/>
          <w:lang w:val="en-US" w:eastAsia="zh-CN"/>
        </w:rPr>
        <w:t>技术要求</w:t>
      </w:r>
    </w:p>
    <w:p>
      <w:pPr>
        <w:spacing w:beforeLines="0" w:afterLines="0"/>
        <w:jc w:val="both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插拔式安装</w:t>
      </w:r>
    </w:p>
    <w:p>
      <w:pPr>
        <w:spacing w:beforeLines="0" w:afterLines="0"/>
        <w:jc w:val="left"/>
        <w:rPr>
          <w:rFonts w:hint="default" w:ascii="Times New Roman" w:hAnsi="Times New Roman" w:eastAsia="Times New Roman"/>
          <w:sz w:val="24"/>
          <w:szCs w:val="24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/>
          <w:sz w:val="24"/>
          <w:szCs w:val="24"/>
        </w:rPr>
        <w:t>诱导标额定输入电压：</w:t>
      </w:r>
      <w:r>
        <w:rPr>
          <w:rFonts w:hint="default" w:ascii="Times New Roman" w:hAnsi="Times New Roman" w:eastAsia="Times New Roman"/>
          <w:sz w:val="24"/>
          <w:szCs w:val="24"/>
        </w:rPr>
        <w:t>24V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/>
          <w:sz w:val="24"/>
          <w:szCs w:val="24"/>
        </w:rPr>
        <w:t>亮度调节：白天为高亮显示，夜间亮度自动。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/>
          <w:sz w:val="24"/>
          <w:szCs w:val="24"/>
        </w:rPr>
        <w:t>显示模式：具有跑马灯效果，闪烁模式和常亮模式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/>
          <w:sz w:val="24"/>
          <w:szCs w:val="24"/>
        </w:rPr>
        <w:t>诱导标额定功率：</w:t>
      </w:r>
      <w:r>
        <w:rPr>
          <w:rFonts w:hint="default" w:ascii="Times New Roman" w:hAnsi="Times New Roman" w:eastAsia="Times New Roman"/>
          <w:sz w:val="24"/>
          <w:szCs w:val="24"/>
        </w:rPr>
        <w:t>1W</w:t>
      </w:r>
      <w:r>
        <w:rPr>
          <w:rFonts w:hint="eastAsia" w:ascii="宋体" w:hAnsi="宋体" w:eastAsia="宋体"/>
          <w:sz w:val="24"/>
          <w:szCs w:val="24"/>
        </w:rPr>
        <w:t>（双面显示）</w:t>
      </w:r>
      <w:r>
        <w:rPr>
          <w:rFonts w:hint="default" w:ascii="Times New Roman" w:hAnsi="Times New Roman" w:eastAsia="Times New Roman"/>
          <w:sz w:val="24"/>
          <w:szCs w:val="24"/>
        </w:rPr>
        <w:t>,</w:t>
      </w:r>
      <w:r>
        <w:rPr>
          <w:rFonts w:hint="eastAsia" w:ascii="宋体" w:hAnsi="宋体" w:eastAsia="宋体"/>
          <w:sz w:val="24"/>
          <w:szCs w:val="24"/>
        </w:rPr>
        <w:t>且</w:t>
      </w:r>
      <w:r>
        <w:rPr>
          <w:rFonts w:hint="default" w:ascii="Times New Roman" w:hAnsi="Times New Roman" w:eastAsia="Times New Roman"/>
          <w:sz w:val="24"/>
          <w:szCs w:val="24"/>
        </w:rPr>
        <w:t xml:space="preserve">LED </w:t>
      </w:r>
      <w:r>
        <w:rPr>
          <w:rFonts w:hint="eastAsia" w:ascii="宋体" w:hAnsi="宋体" w:eastAsia="宋体"/>
          <w:sz w:val="24"/>
          <w:szCs w:val="24"/>
        </w:rPr>
        <w:t>数量单面不少于</w:t>
      </w:r>
      <w:r>
        <w:rPr>
          <w:rFonts w:hint="default" w:ascii="Times New Roman" w:hAnsi="Times New Roman" w:eastAsia="Times New Roman"/>
          <w:sz w:val="24"/>
          <w:szCs w:val="24"/>
        </w:rPr>
        <w:t>6</w:t>
      </w:r>
      <w:r>
        <w:rPr>
          <w:rFonts w:hint="eastAsia" w:ascii="宋体" w:hAnsi="宋体" w:eastAsia="宋体"/>
          <w:sz w:val="24"/>
          <w:szCs w:val="24"/>
        </w:rPr>
        <w:t>个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/>
          <w:sz w:val="24"/>
          <w:szCs w:val="24"/>
        </w:rPr>
        <w:t>诱导标外壳材料：压铸铝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/>
          <w:sz w:val="24"/>
          <w:szCs w:val="24"/>
        </w:rPr>
        <w:t>诱导标发光颜色：白、色红色，黄色可任意组合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/>
          <w:sz w:val="24"/>
          <w:szCs w:val="24"/>
        </w:rPr>
        <w:t>诱导标模块安装：不锈钢螺丝和尼龙膨管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/>
          <w:sz w:val="24"/>
          <w:szCs w:val="24"/>
        </w:rPr>
        <w:t>光源：单面</w:t>
      </w:r>
      <w:r>
        <w:rPr>
          <w:rFonts w:hint="default" w:ascii="Times New Roman" w:hAnsi="Times New Roman" w:eastAsia="Times New Roman"/>
          <w:sz w:val="24"/>
          <w:szCs w:val="24"/>
        </w:rPr>
        <w:t xml:space="preserve">6 </w:t>
      </w:r>
      <w:r>
        <w:rPr>
          <w:rFonts w:hint="eastAsia" w:ascii="宋体" w:hAnsi="宋体" w:eastAsia="宋体"/>
          <w:sz w:val="24"/>
          <w:szCs w:val="24"/>
        </w:rPr>
        <w:t>个</w:t>
      </w:r>
      <w:r>
        <w:rPr>
          <w:rFonts w:hint="default" w:ascii="Times New Roman" w:hAnsi="Times New Roman" w:eastAsia="Times New Roman"/>
          <w:sz w:val="24"/>
          <w:szCs w:val="24"/>
        </w:rPr>
        <w:t>LED/</w:t>
      </w:r>
      <w:r>
        <w:rPr>
          <w:rFonts w:hint="eastAsia" w:ascii="宋体" w:hAnsi="宋体" w:eastAsia="宋体"/>
          <w:sz w:val="24"/>
          <w:szCs w:val="24"/>
        </w:rPr>
        <w:t>双面共</w:t>
      </w:r>
      <w:r>
        <w:rPr>
          <w:rFonts w:hint="default" w:ascii="Times New Roman" w:hAnsi="Times New Roman" w:eastAsia="Times New Roman"/>
          <w:sz w:val="24"/>
          <w:szCs w:val="24"/>
        </w:rPr>
        <w:t xml:space="preserve">12 </w:t>
      </w:r>
      <w:r>
        <w:rPr>
          <w:rFonts w:hint="eastAsia" w:ascii="宋体" w:hAnsi="宋体" w:eastAsia="宋体"/>
          <w:sz w:val="24"/>
          <w:szCs w:val="24"/>
        </w:rPr>
        <w:t>颗。</w:t>
      </w:r>
    </w:p>
    <w:p>
      <w:pPr>
        <w:spacing w:beforeLines="0" w:afterLines="0"/>
        <w:jc w:val="left"/>
        <w:rPr>
          <w:rFonts w:hint="eastAsia" w:ascii="宋体" w:hAnsi="宋体" w:eastAsia="宋体"/>
          <w:sz w:val="24"/>
          <w:szCs w:val="24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/>
          <w:sz w:val="24"/>
          <w:szCs w:val="24"/>
        </w:rPr>
        <w:t>诱导标使用寿命：</w:t>
      </w:r>
      <w:r>
        <w:rPr>
          <w:rFonts w:hint="default" w:ascii="Times New Roman" w:hAnsi="Times New Roman" w:eastAsia="Times New Roman"/>
          <w:sz w:val="24"/>
          <w:szCs w:val="24"/>
        </w:rPr>
        <w:t>100</w:t>
      </w:r>
      <w:r>
        <w:rPr>
          <w:rFonts w:hint="eastAsia" w:ascii="宋体" w:hAnsi="宋体" w:eastAsia="宋体"/>
          <w:sz w:val="24"/>
          <w:szCs w:val="24"/>
        </w:rPr>
        <w:t>，</w:t>
      </w:r>
      <w:r>
        <w:rPr>
          <w:rFonts w:hint="default" w:ascii="Times New Roman" w:hAnsi="Times New Roman" w:eastAsia="Times New Roman"/>
          <w:sz w:val="24"/>
          <w:szCs w:val="24"/>
        </w:rPr>
        <w:t xml:space="preserve">000 </w:t>
      </w:r>
      <w:r>
        <w:rPr>
          <w:rFonts w:hint="eastAsia" w:ascii="宋体" w:hAnsi="宋体" w:eastAsia="宋体"/>
          <w:sz w:val="24"/>
          <w:szCs w:val="24"/>
        </w:rPr>
        <w:t>小时</w:t>
      </w:r>
    </w:p>
    <w:p>
      <w:pPr>
        <w:pStyle w:val="3"/>
        <w:tabs>
          <w:tab w:val="left" w:pos="8280"/>
        </w:tabs>
        <w:jc w:val="left"/>
        <w:outlineLvl w:val="0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Wingdings" w:hAnsi="Wingdings" w:eastAsia="Wingdings"/>
          <w:sz w:val="24"/>
          <w:szCs w:val="24"/>
        </w:rPr>
        <w:t xml:space="preserve">Ø </w:t>
      </w:r>
      <w:r>
        <w:rPr>
          <w:rFonts w:hint="eastAsia" w:ascii="宋体" w:hAnsi="宋体" w:eastAsia="宋体" w:cstheme="minorBidi"/>
          <w:b w:val="0"/>
          <w:kern w:val="2"/>
          <w:sz w:val="24"/>
          <w:szCs w:val="24"/>
          <w:lang w:val="en-US" w:eastAsia="zh-CN" w:bidi="ar-SA"/>
        </w:rPr>
        <w:t>防护等</w:t>
      </w:r>
      <w:r>
        <w:rPr>
          <w:rFonts w:hint="default" w:ascii="Times New Roman" w:hAnsi="Times New Roman" w:eastAsia="宋体" w:cs="Times New Roman"/>
          <w:b w:val="0"/>
          <w:kern w:val="2"/>
          <w:sz w:val="24"/>
          <w:szCs w:val="24"/>
          <w:lang w:val="en-US" w:eastAsia="zh-CN" w:bidi="ar-SA"/>
        </w:rPr>
        <w:t>级：IP67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信用信誉良好，所供设备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符合</w:t>
      </w:r>
      <w:bookmarkStart w:id="3" w:name="_GoBack"/>
      <w:bookmarkEnd w:id="3"/>
      <w:r>
        <w:rPr>
          <w:rFonts w:hint="default" w:ascii="Times New Roman" w:hAnsi="Times New Roman" w:cs="Times New Roman"/>
          <w:color w:val="auto"/>
          <w:sz w:val="24"/>
          <w:lang w:eastAsia="zh-CN"/>
        </w:rPr>
        <w:t>本工程量清单设备技术要求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16：00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1204355776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刘工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172A27"/>
    <w:rsid w:val="0A69025B"/>
    <w:rsid w:val="0DA26991"/>
    <w:rsid w:val="112A7044"/>
    <w:rsid w:val="12ED5CBA"/>
    <w:rsid w:val="20205D7D"/>
    <w:rsid w:val="22E907A2"/>
    <w:rsid w:val="298B6066"/>
    <w:rsid w:val="2E0860D1"/>
    <w:rsid w:val="2ECB5FE2"/>
    <w:rsid w:val="34DB5F68"/>
    <w:rsid w:val="3C047712"/>
    <w:rsid w:val="3E8C010F"/>
    <w:rsid w:val="3EFD65C9"/>
    <w:rsid w:val="4044389B"/>
    <w:rsid w:val="42100EF9"/>
    <w:rsid w:val="48AD79E8"/>
    <w:rsid w:val="49DC5C4D"/>
    <w:rsid w:val="515756D7"/>
    <w:rsid w:val="52871060"/>
    <w:rsid w:val="57BF2D4E"/>
    <w:rsid w:val="58B74CBC"/>
    <w:rsid w:val="5E8E770E"/>
    <w:rsid w:val="623B7383"/>
    <w:rsid w:val="63166D1A"/>
    <w:rsid w:val="65922BE0"/>
    <w:rsid w:val="69824F5F"/>
    <w:rsid w:val="6AC87D14"/>
    <w:rsid w:val="6C094604"/>
    <w:rsid w:val="71313FAA"/>
    <w:rsid w:val="79E201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Body Text"/>
    <w:basedOn w:val="1"/>
    <w:unhideWhenUsed/>
    <w:qFormat/>
    <w:uiPriority w:val="99"/>
    <w:pPr>
      <w:spacing w:line="480" w:lineRule="auto"/>
      <w:jc w:val="center"/>
    </w:pPr>
    <w:rPr>
      <w:rFonts w:ascii="宋体"/>
      <w:b/>
      <w:sz w:val="72"/>
      <w:szCs w:val="20"/>
    </w:r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592</Characters>
  <Lines>0</Lines>
  <Paragraphs>0</Paragraphs>
  <TotalTime>0</TotalTime>
  <ScaleCrop>false</ScaleCrop>
  <LinksUpToDate>false</LinksUpToDate>
  <CharactersWithSpaces>656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2022-11-22T03:14:14Z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