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360" w:lineRule="auto"/>
        <w:ind w:left="735" w:leftChars="350" w:right="735" w:rightChars="350"/>
        <w:jc w:val="center"/>
        <w:outlineLvl w:val="1"/>
        <w:rPr>
          <w:sz w:val="24"/>
        </w:rPr>
      </w:pPr>
      <w:bookmarkStart w:id="0" w:name="_Hlk119664288"/>
      <w:r>
        <w:rPr>
          <w:rFonts w:hint="eastAsia" w:eastAsia="仿宋_GB2312"/>
          <w:b/>
          <w:color w:val="000000"/>
          <w:sz w:val="32"/>
          <w:szCs w:val="32"/>
        </w:rPr>
        <w:t>基于深度学习的道路病害数字3D智能检测系统</w:t>
      </w:r>
      <w:bookmarkEnd w:id="0"/>
      <w:r>
        <w:rPr>
          <w:rFonts w:hint="eastAsia" w:eastAsia="仿宋_GB2312"/>
          <w:b/>
          <w:color w:val="000000"/>
          <w:sz w:val="32"/>
          <w:szCs w:val="32"/>
        </w:rPr>
        <w:t>数据标注</w:t>
      </w:r>
      <w:r>
        <w:rPr>
          <w:rFonts w:eastAsia="仿宋_GB2312"/>
          <w:b/>
          <w:color w:val="000000"/>
          <w:sz w:val="32"/>
          <w:szCs w:val="32"/>
        </w:rPr>
        <w:t>项目</w:t>
      </w:r>
      <w:r>
        <w:rPr>
          <w:rFonts w:hint="eastAsia" w:eastAsia="仿宋_GB2312"/>
          <w:b/>
          <w:color w:val="000000"/>
          <w:sz w:val="32"/>
          <w:szCs w:val="32"/>
          <w:lang w:val="en-US" w:eastAsia="zh-CN"/>
        </w:rPr>
        <w:t>采购</w:t>
      </w:r>
      <w:r>
        <w:rPr>
          <w:rFonts w:eastAsia="仿宋_GB2312"/>
          <w:b/>
          <w:color w:val="000000"/>
          <w:sz w:val="32"/>
          <w:szCs w:val="32"/>
        </w:rPr>
        <w:t>意向征集公告</w:t>
      </w:r>
    </w:p>
    <w:p>
      <w:pPr>
        <w:numPr>
          <w:ilvl w:val="0"/>
          <w:numId w:val="1"/>
        </w:numPr>
        <w:topLinePunct/>
        <w:spacing w:line="360" w:lineRule="auto"/>
        <w:outlineLvl w:val="1"/>
        <w:rPr>
          <w:b/>
          <w:snapToGrid w:val="0"/>
          <w:kern w:val="0"/>
          <w:sz w:val="24"/>
        </w:rPr>
      </w:pPr>
      <w:r>
        <w:rPr>
          <w:b/>
          <w:snapToGrid w:val="0"/>
          <w:kern w:val="0"/>
          <w:sz w:val="24"/>
        </w:rPr>
        <w:t>项目概况</w:t>
      </w:r>
    </w:p>
    <w:p>
      <w:pPr>
        <w:wordWrap w:val="0"/>
        <w:topLinePunct/>
        <w:spacing w:line="360" w:lineRule="auto"/>
        <w:ind w:firstLine="566" w:firstLineChars="236"/>
        <w:rPr>
          <w:bCs/>
          <w:snapToGrid w:val="0"/>
          <w:kern w:val="0"/>
          <w:sz w:val="24"/>
        </w:rPr>
      </w:pPr>
      <w:r>
        <w:rPr>
          <w:bCs/>
          <w:snapToGrid w:val="0"/>
          <w:kern w:val="0"/>
          <w:sz w:val="24"/>
        </w:rPr>
        <w:t>1.1项目名称：</w:t>
      </w:r>
      <w:r>
        <w:rPr>
          <w:rFonts w:hint="eastAsia"/>
          <w:bCs/>
          <w:snapToGrid w:val="0"/>
          <w:kern w:val="0"/>
          <w:sz w:val="24"/>
        </w:rPr>
        <w:t>基于深度学习的道路病害数字3D智能检测系统数据标注项目</w:t>
      </w:r>
      <w:r>
        <w:rPr>
          <w:bCs/>
          <w:snapToGrid w:val="0"/>
          <w:kern w:val="0"/>
          <w:sz w:val="24"/>
        </w:rPr>
        <w:tab/>
      </w:r>
      <w:r>
        <w:rPr>
          <w:bCs/>
          <w:snapToGrid w:val="0"/>
          <w:kern w:val="0"/>
          <w:sz w:val="24"/>
        </w:rPr>
        <w:t xml:space="preserve"> </w:t>
      </w:r>
    </w:p>
    <w:p>
      <w:pPr>
        <w:wordWrap w:val="0"/>
        <w:topLinePunct/>
        <w:spacing w:line="360" w:lineRule="auto"/>
        <w:ind w:firstLine="566" w:firstLineChars="236"/>
      </w:pPr>
      <w:r>
        <w:rPr>
          <w:bCs/>
          <w:snapToGrid w:val="0"/>
          <w:kern w:val="0"/>
          <w:sz w:val="24"/>
        </w:rPr>
        <w:t>1.2 项目地点：</w:t>
      </w:r>
      <w:r>
        <w:rPr>
          <w:color w:val="000000"/>
          <w:sz w:val="24"/>
        </w:rPr>
        <w:t>广州市番禺区洛浦街道北环路87号道路研究院二号楼</w:t>
      </w:r>
    </w:p>
    <w:p>
      <w:pPr>
        <w:numPr>
          <w:ilvl w:val="0"/>
          <w:numId w:val="1"/>
        </w:numPr>
        <w:topLinePunct/>
        <w:spacing w:line="360" w:lineRule="auto"/>
        <w:outlineLvl w:val="1"/>
        <w:rPr>
          <w:b/>
          <w:snapToGrid w:val="0"/>
          <w:kern w:val="0"/>
          <w:sz w:val="24"/>
        </w:rPr>
      </w:pPr>
      <w:r>
        <w:rPr>
          <w:b/>
          <w:snapToGrid w:val="0"/>
          <w:kern w:val="0"/>
          <w:sz w:val="24"/>
        </w:rPr>
        <w:t>具体</w:t>
      </w:r>
      <w:r>
        <w:rPr>
          <w:rFonts w:hint="eastAsia"/>
          <w:b/>
          <w:snapToGrid w:val="0"/>
          <w:kern w:val="0"/>
          <w:sz w:val="24"/>
          <w:lang w:val="en-US" w:eastAsia="zh-CN"/>
        </w:rPr>
        <w:t>服务内容</w:t>
      </w:r>
    </w:p>
    <w:tbl>
      <w:tblPr>
        <w:tblStyle w:val="6"/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65"/>
        <w:gridCol w:w="2173"/>
        <w:gridCol w:w="1110"/>
        <w:gridCol w:w="1335"/>
        <w:gridCol w:w="117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365" w:type="dxa"/>
            <w:shd w:val="clear" w:color="auto" w:fill="auto"/>
            <w:vAlign w:val="center"/>
          </w:tcPr>
          <w:p>
            <w:pPr>
              <w:spacing w:line="360" w:lineRule="auto"/>
              <w:jc w:val="center"/>
              <w:rPr>
                <w:szCs w:val="21"/>
              </w:rPr>
            </w:pPr>
            <w:r>
              <w:rPr>
                <w:szCs w:val="21"/>
              </w:rPr>
              <w:t>序号</w:t>
            </w:r>
          </w:p>
        </w:tc>
        <w:tc>
          <w:tcPr>
            <w:tcW w:w="2173" w:type="dxa"/>
            <w:shd w:val="clear" w:color="auto" w:fill="auto"/>
            <w:vAlign w:val="center"/>
          </w:tcPr>
          <w:p>
            <w:pPr>
              <w:spacing w:line="360" w:lineRule="auto"/>
              <w:jc w:val="center"/>
              <w:rPr>
                <w:szCs w:val="21"/>
              </w:rPr>
            </w:pPr>
            <w:r>
              <w:rPr>
                <w:rFonts w:hint="eastAsia"/>
                <w:szCs w:val="21"/>
                <w:lang w:val="en-US" w:eastAsia="zh-CN"/>
              </w:rPr>
              <w:t>服务</w:t>
            </w:r>
            <w:r>
              <w:rPr>
                <w:szCs w:val="21"/>
              </w:rPr>
              <w:t>名称</w:t>
            </w:r>
          </w:p>
        </w:tc>
        <w:tc>
          <w:tcPr>
            <w:tcW w:w="1110" w:type="dxa"/>
            <w:shd w:val="clear" w:color="auto" w:fill="auto"/>
            <w:vAlign w:val="center"/>
          </w:tcPr>
          <w:p>
            <w:pPr>
              <w:spacing w:line="360" w:lineRule="auto"/>
              <w:jc w:val="center"/>
              <w:rPr>
                <w:szCs w:val="21"/>
              </w:rPr>
            </w:pPr>
            <w:r>
              <w:rPr>
                <w:szCs w:val="21"/>
              </w:rPr>
              <w:t>单位</w:t>
            </w:r>
          </w:p>
        </w:tc>
        <w:tc>
          <w:tcPr>
            <w:tcW w:w="1335" w:type="dxa"/>
            <w:shd w:val="clear" w:color="auto" w:fill="auto"/>
            <w:vAlign w:val="center"/>
          </w:tcPr>
          <w:p>
            <w:pPr>
              <w:spacing w:line="360" w:lineRule="auto"/>
              <w:jc w:val="center"/>
              <w:rPr>
                <w:szCs w:val="21"/>
              </w:rPr>
            </w:pPr>
            <w:r>
              <w:rPr>
                <w:szCs w:val="21"/>
              </w:rPr>
              <w:t>数量</w:t>
            </w:r>
          </w:p>
        </w:tc>
        <w:tc>
          <w:tcPr>
            <w:tcW w:w="1175" w:type="dxa"/>
            <w:shd w:val="clear" w:color="auto" w:fill="auto"/>
            <w:vAlign w:val="center"/>
          </w:tcPr>
          <w:p>
            <w:pPr>
              <w:spacing w:line="360" w:lineRule="auto"/>
              <w:jc w:val="center"/>
              <w:rPr>
                <w:szCs w:val="21"/>
              </w:rPr>
            </w:pPr>
            <w:r>
              <w:rPr>
                <w:szCs w:val="21"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365" w:type="dxa"/>
            <w:shd w:val="clear" w:color="auto" w:fill="auto"/>
            <w:vAlign w:val="center"/>
          </w:tcPr>
          <w:p>
            <w:pPr>
              <w:spacing w:line="360" w:lineRule="auto"/>
              <w:jc w:val="center"/>
              <w:rPr>
                <w:szCs w:val="21"/>
              </w:rPr>
            </w:pPr>
            <w:r>
              <w:rPr>
                <w:szCs w:val="21"/>
              </w:rPr>
              <w:t>1</w:t>
            </w:r>
          </w:p>
        </w:tc>
        <w:tc>
          <w:tcPr>
            <w:tcW w:w="2173" w:type="dxa"/>
            <w:shd w:val="clear" w:color="auto" w:fill="auto"/>
            <w:vAlign w:val="center"/>
          </w:tcPr>
          <w:p>
            <w:pPr>
              <w:spacing w:line="360" w:lineRule="auto"/>
              <w:jc w:val="center"/>
              <w:rPr>
                <w:rFonts w:hint="default" w:eastAsia="宋体"/>
                <w:szCs w:val="21"/>
                <w:lang w:val="en-US" w:eastAsia="zh-CN"/>
              </w:rPr>
            </w:pPr>
            <w:r>
              <w:rPr>
                <w:rFonts w:hint="eastAsia"/>
                <w:szCs w:val="21"/>
              </w:rPr>
              <w:t>标志牌</w:t>
            </w:r>
            <w:r>
              <w:rPr>
                <w:rFonts w:hint="eastAsia"/>
                <w:szCs w:val="21"/>
                <w:lang w:eastAsia="zh-CN"/>
              </w:rPr>
              <w:t>（</w:t>
            </w:r>
            <w:r>
              <w:rPr>
                <w:rFonts w:hint="eastAsia"/>
                <w:szCs w:val="21"/>
                <w:lang w:val="en-US" w:eastAsia="zh-CN"/>
              </w:rPr>
              <w:t>数据集标志、交安设施缺损检测、3D道路病害可视化）</w:t>
            </w:r>
          </w:p>
        </w:tc>
        <w:tc>
          <w:tcPr>
            <w:tcW w:w="1110" w:type="dxa"/>
            <w:shd w:val="clear" w:color="auto" w:fill="auto"/>
            <w:vAlign w:val="center"/>
          </w:tcPr>
          <w:p>
            <w:pPr>
              <w:spacing w:line="360" w:lineRule="auto"/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张</w:t>
            </w:r>
          </w:p>
        </w:tc>
        <w:tc>
          <w:tcPr>
            <w:tcW w:w="1335" w:type="dxa"/>
            <w:shd w:val="clear" w:color="auto" w:fill="auto"/>
            <w:vAlign w:val="center"/>
          </w:tcPr>
          <w:p>
            <w:pPr>
              <w:spacing w:line="360" w:lineRule="auto"/>
              <w:jc w:val="center"/>
              <w:rPr>
                <w:szCs w:val="21"/>
              </w:rPr>
            </w:pPr>
            <w:r>
              <w:rPr>
                <w:szCs w:val="21"/>
              </w:rPr>
              <w:t>2000</w:t>
            </w:r>
          </w:p>
        </w:tc>
        <w:tc>
          <w:tcPr>
            <w:tcW w:w="1175" w:type="dxa"/>
            <w:shd w:val="clear" w:color="auto" w:fill="auto"/>
            <w:vAlign w:val="center"/>
          </w:tcPr>
          <w:p>
            <w:pPr>
              <w:spacing w:line="360" w:lineRule="auto"/>
              <w:jc w:val="center"/>
              <w:rPr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365" w:type="dxa"/>
            <w:shd w:val="clear" w:color="auto" w:fill="auto"/>
            <w:vAlign w:val="center"/>
          </w:tcPr>
          <w:p>
            <w:pPr>
              <w:spacing w:line="360" w:lineRule="auto"/>
              <w:jc w:val="center"/>
              <w:rPr>
                <w:szCs w:val="21"/>
              </w:rPr>
            </w:pPr>
            <w:r>
              <w:rPr>
                <w:szCs w:val="21"/>
              </w:rPr>
              <w:t>2</w:t>
            </w:r>
          </w:p>
        </w:tc>
        <w:tc>
          <w:tcPr>
            <w:tcW w:w="2173" w:type="dxa"/>
            <w:shd w:val="clear" w:color="auto" w:fill="auto"/>
            <w:vAlign w:val="center"/>
          </w:tcPr>
          <w:p>
            <w:pPr>
              <w:spacing w:line="360" w:lineRule="auto"/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模钢化护栏</w:t>
            </w:r>
            <w:r>
              <w:rPr>
                <w:rFonts w:hint="eastAsia"/>
                <w:szCs w:val="21"/>
                <w:lang w:eastAsia="zh-CN"/>
              </w:rPr>
              <w:t>（</w:t>
            </w:r>
            <w:r>
              <w:rPr>
                <w:rFonts w:hint="eastAsia"/>
                <w:szCs w:val="21"/>
                <w:lang w:val="en-US" w:eastAsia="zh-CN"/>
              </w:rPr>
              <w:t>数据集标志、交安设施缺损检测、3D道路病害可视化）</w:t>
            </w:r>
          </w:p>
        </w:tc>
        <w:tc>
          <w:tcPr>
            <w:tcW w:w="1110" w:type="dxa"/>
            <w:shd w:val="clear" w:color="auto" w:fill="auto"/>
            <w:vAlign w:val="center"/>
          </w:tcPr>
          <w:p>
            <w:pPr>
              <w:spacing w:line="360" w:lineRule="auto"/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张</w:t>
            </w:r>
          </w:p>
        </w:tc>
        <w:tc>
          <w:tcPr>
            <w:tcW w:w="1335" w:type="dxa"/>
            <w:shd w:val="clear" w:color="auto" w:fill="auto"/>
            <w:vAlign w:val="center"/>
          </w:tcPr>
          <w:p>
            <w:pPr>
              <w:spacing w:line="360" w:lineRule="auto"/>
              <w:jc w:val="center"/>
              <w:rPr>
                <w:szCs w:val="21"/>
              </w:rPr>
            </w:pPr>
            <w:r>
              <w:rPr>
                <w:szCs w:val="21"/>
              </w:rPr>
              <w:t>1000</w:t>
            </w:r>
          </w:p>
        </w:tc>
        <w:tc>
          <w:tcPr>
            <w:tcW w:w="1175" w:type="dxa"/>
            <w:shd w:val="clear" w:color="auto" w:fill="auto"/>
            <w:vAlign w:val="center"/>
          </w:tcPr>
          <w:p>
            <w:pPr>
              <w:spacing w:line="360" w:lineRule="auto"/>
              <w:jc w:val="center"/>
              <w:rPr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365" w:type="dxa"/>
            <w:shd w:val="clear" w:color="auto" w:fill="auto"/>
            <w:vAlign w:val="center"/>
          </w:tcPr>
          <w:p>
            <w:pPr>
              <w:spacing w:line="360" w:lineRule="auto"/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3</w:t>
            </w:r>
          </w:p>
        </w:tc>
        <w:tc>
          <w:tcPr>
            <w:tcW w:w="2173" w:type="dxa"/>
            <w:shd w:val="clear" w:color="auto" w:fill="auto"/>
            <w:vAlign w:val="center"/>
          </w:tcPr>
          <w:p>
            <w:pPr>
              <w:spacing w:line="360" w:lineRule="auto"/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隔音板和防眩板</w:t>
            </w:r>
            <w:r>
              <w:rPr>
                <w:rFonts w:hint="eastAsia"/>
                <w:szCs w:val="21"/>
                <w:lang w:eastAsia="zh-CN"/>
              </w:rPr>
              <w:t>（</w:t>
            </w:r>
            <w:r>
              <w:rPr>
                <w:rFonts w:hint="eastAsia"/>
                <w:szCs w:val="21"/>
                <w:lang w:val="en-US" w:eastAsia="zh-CN"/>
              </w:rPr>
              <w:t>数据集标志、交安设施缺损检测、3D道路病害可视化）</w:t>
            </w:r>
          </w:p>
        </w:tc>
        <w:tc>
          <w:tcPr>
            <w:tcW w:w="1110" w:type="dxa"/>
            <w:shd w:val="clear" w:color="auto" w:fill="auto"/>
            <w:vAlign w:val="center"/>
          </w:tcPr>
          <w:p>
            <w:pPr>
              <w:spacing w:line="360" w:lineRule="auto"/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张</w:t>
            </w:r>
          </w:p>
        </w:tc>
        <w:tc>
          <w:tcPr>
            <w:tcW w:w="1335" w:type="dxa"/>
            <w:shd w:val="clear" w:color="auto" w:fill="auto"/>
            <w:vAlign w:val="center"/>
          </w:tcPr>
          <w:p>
            <w:pPr>
              <w:spacing w:line="360" w:lineRule="auto"/>
              <w:jc w:val="center"/>
              <w:rPr>
                <w:szCs w:val="21"/>
              </w:rPr>
            </w:pPr>
            <w:r>
              <w:rPr>
                <w:szCs w:val="21"/>
              </w:rPr>
              <w:t>1000</w:t>
            </w:r>
          </w:p>
        </w:tc>
        <w:tc>
          <w:tcPr>
            <w:tcW w:w="1175" w:type="dxa"/>
            <w:shd w:val="clear" w:color="auto" w:fill="auto"/>
            <w:vAlign w:val="center"/>
          </w:tcPr>
          <w:p>
            <w:pPr>
              <w:spacing w:line="360" w:lineRule="auto"/>
              <w:jc w:val="center"/>
              <w:rPr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365" w:type="dxa"/>
            <w:shd w:val="clear" w:color="auto" w:fill="auto"/>
            <w:vAlign w:val="center"/>
          </w:tcPr>
          <w:p>
            <w:pPr>
              <w:spacing w:line="360" w:lineRule="auto"/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4</w:t>
            </w:r>
          </w:p>
        </w:tc>
        <w:tc>
          <w:tcPr>
            <w:tcW w:w="2173" w:type="dxa"/>
            <w:shd w:val="clear" w:color="auto" w:fill="auto"/>
            <w:vAlign w:val="center"/>
          </w:tcPr>
          <w:p>
            <w:pPr>
              <w:spacing w:line="360" w:lineRule="auto"/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沥青路面病害</w:t>
            </w:r>
            <w:r>
              <w:rPr>
                <w:rFonts w:hint="eastAsia"/>
                <w:szCs w:val="21"/>
                <w:lang w:eastAsia="zh-CN"/>
              </w:rPr>
              <w:t>（</w:t>
            </w:r>
            <w:r>
              <w:rPr>
                <w:rFonts w:hint="eastAsia"/>
                <w:szCs w:val="21"/>
                <w:lang w:val="en-US" w:eastAsia="zh-CN"/>
              </w:rPr>
              <w:t>数据集标志、交安设施缺损检测、3D道路病害可视化）</w:t>
            </w:r>
          </w:p>
        </w:tc>
        <w:tc>
          <w:tcPr>
            <w:tcW w:w="1110" w:type="dxa"/>
            <w:shd w:val="clear" w:color="auto" w:fill="auto"/>
            <w:vAlign w:val="center"/>
          </w:tcPr>
          <w:p>
            <w:pPr>
              <w:spacing w:line="360" w:lineRule="auto"/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张</w:t>
            </w:r>
          </w:p>
        </w:tc>
        <w:tc>
          <w:tcPr>
            <w:tcW w:w="1335" w:type="dxa"/>
            <w:shd w:val="clear" w:color="auto" w:fill="auto"/>
            <w:vAlign w:val="center"/>
          </w:tcPr>
          <w:p>
            <w:pPr>
              <w:spacing w:line="360" w:lineRule="auto"/>
              <w:jc w:val="center"/>
              <w:rPr>
                <w:szCs w:val="21"/>
              </w:rPr>
            </w:pPr>
            <w:r>
              <w:rPr>
                <w:szCs w:val="21"/>
              </w:rPr>
              <w:t>2000</w:t>
            </w:r>
          </w:p>
        </w:tc>
        <w:tc>
          <w:tcPr>
            <w:tcW w:w="1175" w:type="dxa"/>
            <w:shd w:val="clear" w:color="auto" w:fill="auto"/>
            <w:vAlign w:val="center"/>
          </w:tcPr>
          <w:p>
            <w:pPr>
              <w:spacing w:line="360" w:lineRule="auto"/>
              <w:jc w:val="center"/>
              <w:rPr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365" w:type="dxa"/>
            <w:shd w:val="clear" w:color="auto" w:fill="auto"/>
            <w:vAlign w:val="center"/>
          </w:tcPr>
          <w:p>
            <w:pPr>
              <w:spacing w:line="360" w:lineRule="auto"/>
              <w:jc w:val="center"/>
              <w:rPr>
                <w:rFonts w:hint="eastAsia"/>
                <w:szCs w:val="21"/>
              </w:rPr>
            </w:pPr>
            <w:r>
              <w:rPr>
                <w:rFonts w:hint="eastAsia"/>
                <w:szCs w:val="21"/>
              </w:rPr>
              <w:t>5</w:t>
            </w:r>
          </w:p>
        </w:tc>
        <w:tc>
          <w:tcPr>
            <w:tcW w:w="2173" w:type="dxa"/>
            <w:shd w:val="clear" w:color="auto" w:fill="auto"/>
            <w:vAlign w:val="center"/>
          </w:tcPr>
          <w:p>
            <w:pPr>
              <w:spacing w:line="360" w:lineRule="auto"/>
              <w:jc w:val="center"/>
              <w:rPr>
                <w:rFonts w:hint="eastAsia"/>
                <w:szCs w:val="21"/>
              </w:rPr>
            </w:pPr>
            <w:r>
              <w:rPr>
                <w:rFonts w:hint="eastAsia"/>
                <w:szCs w:val="21"/>
              </w:rPr>
              <w:t>水泥路面病害</w:t>
            </w:r>
            <w:r>
              <w:rPr>
                <w:rFonts w:hint="eastAsia"/>
                <w:szCs w:val="21"/>
                <w:lang w:eastAsia="zh-CN"/>
              </w:rPr>
              <w:t>（</w:t>
            </w:r>
            <w:r>
              <w:rPr>
                <w:rFonts w:hint="eastAsia"/>
                <w:szCs w:val="21"/>
                <w:lang w:val="en-US" w:eastAsia="zh-CN"/>
              </w:rPr>
              <w:t>数据集标志、交安设施缺损检测、3D道路病害可视化）</w:t>
            </w:r>
          </w:p>
        </w:tc>
        <w:tc>
          <w:tcPr>
            <w:tcW w:w="1110" w:type="dxa"/>
            <w:shd w:val="clear" w:color="auto" w:fill="auto"/>
            <w:vAlign w:val="center"/>
          </w:tcPr>
          <w:p>
            <w:pPr>
              <w:spacing w:line="360" w:lineRule="auto"/>
              <w:jc w:val="center"/>
              <w:rPr>
                <w:rFonts w:hint="eastAsia"/>
                <w:szCs w:val="21"/>
              </w:rPr>
            </w:pPr>
            <w:r>
              <w:rPr>
                <w:rFonts w:hint="eastAsia"/>
                <w:szCs w:val="21"/>
              </w:rPr>
              <w:t>张</w:t>
            </w:r>
          </w:p>
        </w:tc>
        <w:tc>
          <w:tcPr>
            <w:tcW w:w="1335" w:type="dxa"/>
            <w:shd w:val="clear" w:color="auto" w:fill="auto"/>
            <w:vAlign w:val="center"/>
          </w:tcPr>
          <w:p>
            <w:pPr>
              <w:spacing w:line="360" w:lineRule="auto"/>
              <w:jc w:val="center"/>
              <w:rPr>
                <w:rFonts w:hint="eastAsia"/>
                <w:szCs w:val="21"/>
              </w:rPr>
            </w:pPr>
            <w:r>
              <w:rPr>
                <w:szCs w:val="21"/>
              </w:rPr>
              <w:t>4000</w:t>
            </w:r>
          </w:p>
        </w:tc>
        <w:tc>
          <w:tcPr>
            <w:tcW w:w="1175" w:type="dxa"/>
            <w:shd w:val="clear" w:color="auto" w:fill="auto"/>
            <w:vAlign w:val="center"/>
          </w:tcPr>
          <w:p>
            <w:pPr>
              <w:spacing w:line="360" w:lineRule="auto"/>
              <w:jc w:val="center"/>
              <w:rPr>
                <w:szCs w:val="21"/>
              </w:rPr>
            </w:pPr>
          </w:p>
        </w:tc>
      </w:tr>
    </w:tbl>
    <w:p>
      <w:pPr>
        <w:wordWrap w:val="0"/>
        <w:topLinePunct/>
        <w:spacing w:line="360" w:lineRule="auto"/>
        <w:ind w:firstLine="566" w:firstLineChars="236"/>
        <w:rPr>
          <w:bCs/>
          <w:snapToGrid w:val="0"/>
          <w:kern w:val="0"/>
          <w:sz w:val="24"/>
        </w:rPr>
      </w:pPr>
      <w:r>
        <w:rPr>
          <w:bCs/>
          <w:snapToGrid w:val="0"/>
          <w:kern w:val="0"/>
          <w:sz w:val="24"/>
        </w:rPr>
        <w:t>清单说明：</w:t>
      </w:r>
    </w:p>
    <w:p>
      <w:pPr>
        <w:numPr>
          <w:ilvl w:val="0"/>
          <w:numId w:val="2"/>
        </w:numPr>
        <w:wordWrap w:val="0"/>
        <w:topLinePunct/>
        <w:spacing w:line="360" w:lineRule="auto"/>
        <w:ind w:firstLine="566" w:firstLineChars="236"/>
        <w:rPr>
          <w:rFonts w:hint="eastAsia"/>
          <w:bCs/>
          <w:snapToGrid w:val="0"/>
          <w:kern w:val="0"/>
          <w:sz w:val="24"/>
        </w:rPr>
      </w:pPr>
      <w:r>
        <w:rPr>
          <w:rFonts w:hint="eastAsia"/>
          <w:bCs/>
          <w:snapToGrid w:val="0"/>
          <w:kern w:val="0"/>
          <w:sz w:val="24"/>
        </w:rPr>
        <w:t>沥青路面病害包括裂缝类（线裂、网裂、龟裂），变形类（拥抱、车辙、沉陷、翻浆），松散类（剥落、坑槽、松散）；水泥路面病害包括裂缝类（线裂、板角断裂、破碎板），接缝破坏类（接缝了损坏、边角剥落）、其它类（坑洞、错台等）。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2"/>
        </w:numPr>
        <w:kinsoku/>
        <w:overflowPunct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bCs/>
          <w:snapToGrid w:val="0"/>
          <w:kern w:val="0"/>
          <w:sz w:val="24"/>
        </w:rPr>
      </w:pPr>
      <w:r>
        <w:rPr>
          <w:bCs/>
          <w:snapToGrid w:val="0"/>
          <w:kern w:val="0"/>
          <w:sz w:val="24"/>
        </w:rPr>
        <w:t>质保期：两年</w:t>
      </w:r>
      <w:r>
        <w:rPr>
          <w:rFonts w:hint="eastAsia"/>
          <w:bCs/>
          <w:snapToGrid w:val="0"/>
          <w:kern w:val="0"/>
          <w:sz w:val="24"/>
        </w:rPr>
        <w:t>；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2"/>
        </w:numPr>
        <w:kinsoku/>
        <w:overflowPunct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bCs/>
          <w:snapToGrid w:val="0"/>
          <w:kern w:val="0"/>
          <w:sz w:val="24"/>
        </w:rPr>
      </w:pPr>
      <w:r>
        <w:rPr>
          <w:rFonts w:hint="eastAsia"/>
          <w:bCs/>
          <w:snapToGrid w:val="0"/>
          <w:kern w:val="0"/>
          <w:sz w:val="24"/>
        </w:rPr>
        <w:t>最高限价</w:t>
      </w:r>
      <w:r>
        <w:rPr>
          <w:bCs/>
          <w:snapToGrid w:val="0"/>
          <w:kern w:val="0"/>
          <w:sz w:val="24"/>
        </w:rPr>
        <w:t>：5</w:t>
      </w:r>
      <w:r>
        <w:rPr>
          <w:rFonts w:hint="eastAsia"/>
          <w:bCs/>
          <w:snapToGrid w:val="0"/>
          <w:kern w:val="0"/>
          <w:sz w:val="24"/>
        </w:rPr>
        <w:t>万。</w:t>
      </w:r>
    </w:p>
    <w:p>
      <w:pPr>
        <w:numPr>
          <w:ilvl w:val="0"/>
          <w:numId w:val="1"/>
        </w:numPr>
        <w:topLinePunct/>
        <w:spacing w:line="360" w:lineRule="auto"/>
        <w:outlineLvl w:val="1"/>
        <w:rPr>
          <w:b/>
          <w:snapToGrid w:val="0"/>
          <w:kern w:val="0"/>
          <w:sz w:val="24"/>
        </w:rPr>
      </w:pPr>
      <w:r>
        <w:rPr>
          <w:b/>
          <w:snapToGrid w:val="0"/>
          <w:kern w:val="0"/>
          <w:sz w:val="24"/>
        </w:rPr>
        <w:t>技术要求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 w:val="0"/>
        <w:overflowPunct/>
        <w:topLinePunct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/>
          <w:bCs/>
          <w:snapToGrid w:val="0"/>
          <w:kern w:val="0"/>
          <w:sz w:val="24"/>
        </w:rPr>
      </w:pPr>
      <w:r>
        <w:rPr>
          <w:rFonts w:hint="eastAsia"/>
          <w:bCs/>
          <w:snapToGrid w:val="0"/>
          <w:kern w:val="0"/>
          <w:sz w:val="24"/>
        </w:rPr>
        <w:t>(1) 标注格式为Cityscapes Dataset样式，详细格式请参考</w:t>
      </w:r>
      <w:r>
        <w:rPr>
          <w:rFonts w:hint="eastAsia"/>
          <w:bCs/>
          <w:snapToGrid w:val="0"/>
          <w:kern w:val="0"/>
          <w:sz w:val="24"/>
        </w:rPr>
        <w:fldChar w:fldCharType="begin"/>
      </w:r>
      <w:r>
        <w:rPr>
          <w:rFonts w:hint="eastAsia"/>
          <w:bCs/>
          <w:snapToGrid w:val="0"/>
          <w:kern w:val="0"/>
          <w:sz w:val="24"/>
        </w:rPr>
        <w:instrText xml:space="preserve"> HYPERLINK "https://www.cityscapes-dataset.com/" </w:instrText>
      </w:r>
      <w:r>
        <w:rPr>
          <w:rFonts w:hint="eastAsia"/>
          <w:bCs/>
          <w:snapToGrid w:val="0"/>
          <w:kern w:val="0"/>
          <w:sz w:val="24"/>
        </w:rPr>
        <w:fldChar w:fldCharType="separate"/>
      </w:r>
      <w:r>
        <w:rPr>
          <w:rFonts w:hint="eastAsia"/>
          <w:bCs/>
          <w:snapToGrid w:val="0"/>
          <w:kern w:val="0"/>
          <w:sz w:val="24"/>
        </w:rPr>
        <w:t>https://www.cityscapes-dataset.com/</w:t>
      </w:r>
      <w:r>
        <w:rPr>
          <w:rFonts w:hint="eastAsia"/>
          <w:bCs/>
          <w:snapToGrid w:val="0"/>
          <w:kern w:val="0"/>
          <w:sz w:val="24"/>
        </w:rPr>
        <w:fldChar w:fldCharType="end"/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 w:val="0"/>
        <w:overflowPunct/>
        <w:topLinePunct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/>
          <w:bCs/>
          <w:snapToGrid w:val="0"/>
          <w:kern w:val="0"/>
          <w:sz w:val="24"/>
        </w:rPr>
      </w:pPr>
      <w:r>
        <w:rPr>
          <w:rFonts w:hint="eastAsia"/>
          <w:bCs/>
          <w:snapToGrid w:val="0"/>
          <w:kern w:val="0"/>
          <w:sz w:val="24"/>
          <w:lang w:eastAsia="zh-Hans"/>
        </w:rPr>
        <w:t>(2)</w:t>
      </w:r>
      <w:r>
        <w:rPr>
          <w:rFonts w:hint="eastAsia"/>
          <w:bCs/>
          <w:snapToGrid w:val="0"/>
          <w:kern w:val="0"/>
          <w:sz w:val="24"/>
        </w:rPr>
        <w:t xml:space="preserve"> 每张图像上的所有病害必须全部按标注标准标注出来</w:t>
      </w:r>
      <w:r>
        <w:rPr>
          <w:rFonts w:hint="eastAsia"/>
          <w:bCs/>
          <w:snapToGrid w:val="0"/>
          <w:kern w:val="0"/>
          <w:sz w:val="24"/>
          <w:lang w:eastAsia="zh-CN"/>
        </w:rPr>
        <w:t>。</w:t>
      </w:r>
    </w:p>
    <w:p>
      <w:pPr>
        <w:numPr>
          <w:ilvl w:val="0"/>
          <w:numId w:val="1"/>
        </w:numPr>
        <w:topLinePunct/>
        <w:spacing w:line="360" w:lineRule="auto"/>
        <w:outlineLvl w:val="1"/>
        <w:rPr>
          <w:b/>
          <w:snapToGrid w:val="0"/>
          <w:kern w:val="0"/>
          <w:sz w:val="24"/>
        </w:rPr>
      </w:pPr>
      <w:r>
        <w:rPr>
          <w:b/>
          <w:snapToGrid w:val="0"/>
          <w:kern w:val="0"/>
          <w:sz w:val="24"/>
        </w:rPr>
        <w:t>供应商资格条件</w:t>
      </w:r>
    </w:p>
    <w:p>
      <w:pPr>
        <w:pStyle w:val="2"/>
        <w:spacing w:line="360" w:lineRule="auto"/>
        <w:ind w:firstLine="480"/>
      </w:pPr>
      <w:r>
        <w:rPr>
          <w:sz w:val="24"/>
        </w:rPr>
        <w:t>信用信誉良好，</w:t>
      </w:r>
      <w:r>
        <w:rPr>
          <w:rFonts w:hint="eastAsia"/>
          <w:sz w:val="24"/>
          <w:lang w:val="en-US" w:eastAsia="zh-CN"/>
        </w:rPr>
        <w:t>所供服务符合本项目服务</w:t>
      </w:r>
      <w:r>
        <w:rPr>
          <w:rFonts w:hint="eastAsia"/>
          <w:sz w:val="24"/>
        </w:rPr>
        <w:t>要求</w:t>
      </w:r>
      <w:r>
        <w:rPr>
          <w:sz w:val="24"/>
        </w:rPr>
        <w:t>。</w:t>
      </w:r>
    </w:p>
    <w:p>
      <w:pPr>
        <w:numPr>
          <w:ilvl w:val="0"/>
          <w:numId w:val="1"/>
        </w:numPr>
        <w:topLinePunct/>
        <w:spacing w:line="360" w:lineRule="auto"/>
        <w:outlineLvl w:val="1"/>
        <w:rPr>
          <w:b/>
          <w:snapToGrid w:val="0"/>
          <w:kern w:val="0"/>
          <w:sz w:val="24"/>
        </w:rPr>
      </w:pPr>
      <w:r>
        <w:rPr>
          <w:b/>
          <w:snapToGrid w:val="0"/>
          <w:kern w:val="0"/>
          <w:sz w:val="24"/>
        </w:rPr>
        <w:t>响应回执的递交</w:t>
      </w:r>
    </w:p>
    <w:p>
      <w:pPr>
        <w:spacing w:line="360" w:lineRule="auto"/>
        <w:ind w:firstLine="480" w:firstLineChars="200"/>
        <w:rPr>
          <w:snapToGrid w:val="0"/>
          <w:color w:val="000000"/>
          <w:kern w:val="0"/>
          <w:sz w:val="24"/>
        </w:rPr>
      </w:pPr>
      <w:r>
        <w:rPr>
          <w:sz w:val="24"/>
        </w:rPr>
        <w:t>凡有意参加本次采购</w:t>
      </w:r>
      <w:r>
        <w:rPr>
          <w:rFonts w:hint="eastAsia"/>
          <w:sz w:val="24"/>
        </w:rPr>
        <w:t>且</w:t>
      </w:r>
      <w:r>
        <w:rPr>
          <w:sz w:val="24"/>
        </w:rPr>
        <w:t>具备履行本项目能力</w:t>
      </w:r>
      <w:r>
        <w:rPr>
          <w:rFonts w:hint="eastAsia"/>
          <w:sz w:val="24"/>
        </w:rPr>
        <w:t>的</w:t>
      </w:r>
      <w:r>
        <w:rPr>
          <w:sz w:val="24"/>
        </w:rPr>
        <w:t>供应商，请</w:t>
      </w:r>
      <w:r>
        <w:rPr>
          <w:color w:val="000000"/>
          <w:sz w:val="24"/>
        </w:rPr>
        <w:t>将附于本公告后的响应回执在</w:t>
      </w:r>
      <w:r>
        <w:rPr>
          <w:color w:val="000000"/>
          <w:sz w:val="24"/>
          <w:u w:val="single"/>
        </w:rPr>
        <w:t>2022年</w:t>
      </w:r>
      <w:r>
        <w:rPr>
          <w:rFonts w:hint="eastAsia"/>
          <w:color w:val="000000"/>
          <w:sz w:val="24"/>
          <w:u w:val="single"/>
        </w:rPr>
        <w:t>1</w:t>
      </w:r>
      <w:r>
        <w:rPr>
          <w:color w:val="000000"/>
          <w:sz w:val="24"/>
          <w:u w:val="single"/>
        </w:rPr>
        <w:t>1月</w:t>
      </w:r>
      <w:r>
        <w:rPr>
          <w:rFonts w:hint="eastAsia"/>
          <w:color w:val="000000"/>
          <w:sz w:val="24"/>
          <w:u w:val="single"/>
        </w:rPr>
        <w:t>2</w:t>
      </w:r>
      <w:r>
        <w:rPr>
          <w:color w:val="000000"/>
          <w:sz w:val="24"/>
          <w:u w:val="single"/>
        </w:rPr>
        <w:t>5日</w:t>
      </w:r>
      <w:r>
        <w:rPr>
          <w:rFonts w:hint="eastAsia"/>
          <w:color w:val="000000"/>
          <w:sz w:val="24"/>
          <w:u w:val="single"/>
        </w:rPr>
        <w:t>1</w:t>
      </w:r>
      <w:r>
        <w:rPr>
          <w:color w:val="000000"/>
          <w:sz w:val="24"/>
          <w:u w:val="single"/>
        </w:rPr>
        <w:t>7</w:t>
      </w:r>
      <w:r>
        <w:rPr>
          <w:rFonts w:hint="eastAsia"/>
          <w:color w:val="000000"/>
          <w:sz w:val="24"/>
          <w:u w:val="single"/>
        </w:rPr>
        <w:t>：</w:t>
      </w:r>
      <w:r>
        <w:rPr>
          <w:color w:val="000000"/>
          <w:sz w:val="24"/>
          <w:u w:val="single"/>
        </w:rPr>
        <w:t>00</w:t>
      </w:r>
      <w:r>
        <w:rPr>
          <w:color w:val="000000"/>
          <w:sz w:val="24"/>
        </w:rPr>
        <w:t>之前发送至采购人邮箱：</w:t>
      </w:r>
      <w:r>
        <w:rPr>
          <w:rFonts w:hint="eastAsia"/>
          <w:snapToGrid w:val="0"/>
          <w:color w:val="000000"/>
          <w:kern w:val="0"/>
          <w:sz w:val="24"/>
          <w:lang w:val="en-US" w:eastAsia="zh-CN"/>
        </w:rPr>
        <w:t>463563188</w:t>
      </w:r>
      <w:r>
        <w:rPr>
          <w:snapToGrid w:val="0"/>
          <w:color w:val="000000"/>
          <w:kern w:val="0"/>
          <w:sz w:val="24"/>
        </w:rPr>
        <w:t>@qq.com，逾期无效。采购人在收到响应回执后根据供应商信用信誉等情况进行讨论提议，按优先选取本公司库内供应商原则开展后续采购活动，不再另行发布采购公告。</w:t>
      </w:r>
    </w:p>
    <w:p>
      <w:pPr>
        <w:numPr>
          <w:ilvl w:val="0"/>
          <w:numId w:val="1"/>
        </w:numPr>
        <w:topLinePunct/>
        <w:spacing w:line="360" w:lineRule="auto"/>
        <w:outlineLvl w:val="1"/>
        <w:rPr>
          <w:b/>
          <w:snapToGrid w:val="0"/>
          <w:kern w:val="0"/>
          <w:sz w:val="24"/>
        </w:rPr>
      </w:pPr>
      <w:bookmarkStart w:id="1" w:name="_Toc332793891"/>
      <w:bookmarkStart w:id="2" w:name="_Toc332965960"/>
      <w:bookmarkStart w:id="3" w:name="_Toc332793818"/>
      <w:r>
        <w:rPr>
          <w:b/>
          <w:snapToGrid w:val="0"/>
          <w:kern w:val="0"/>
          <w:sz w:val="24"/>
        </w:rPr>
        <w:t>联系方式</w:t>
      </w:r>
      <w:bookmarkEnd w:id="1"/>
      <w:bookmarkEnd w:id="2"/>
      <w:bookmarkEnd w:id="3"/>
    </w:p>
    <w:p>
      <w:pPr>
        <w:topLinePunct/>
        <w:spacing w:line="360" w:lineRule="auto"/>
        <w:rPr>
          <w:color w:val="000000"/>
          <w:sz w:val="24"/>
        </w:rPr>
      </w:pPr>
      <w:r>
        <w:rPr>
          <w:color w:val="000000"/>
          <w:sz w:val="24"/>
        </w:rPr>
        <w:t>采  购  人：广东诚泰交通科技发展有限公司</w:t>
      </w:r>
    </w:p>
    <w:p>
      <w:pPr>
        <w:topLinePunct/>
        <w:spacing w:line="360" w:lineRule="auto"/>
        <w:rPr>
          <w:color w:val="000000"/>
          <w:sz w:val="24"/>
        </w:rPr>
      </w:pPr>
      <w:r>
        <w:rPr>
          <w:color w:val="000000"/>
          <w:sz w:val="24"/>
        </w:rPr>
        <w:t>采购人地址：广州市番禺区洛浦街道北环路87号道路研究院二号楼</w:t>
      </w:r>
    </w:p>
    <w:p>
      <w:pPr>
        <w:topLinePunct/>
        <w:spacing w:line="360" w:lineRule="auto"/>
        <w:rPr>
          <w:color w:val="000000"/>
          <w:sz w:val="24"/>
        </w:rPr>
      </w:pPr>
      <w:r>
        <w:rPr>
          <w:color w:val="000000"/>
          <w:sz w:val="24"/>
        </w:rPr>
        <w:t>联  系  人：</w:t>
      </w:r>
      <w:r>
        <w:rPr>
          <w:rFonts w:hint="eastAsia"/>
          <w:color w:val="000000"/>
          <w:sz w:val="24"/>
        </w:rPr>
        <w:t>周敏</w:t>
      </w:r>
    </w:p>
    <w:p>
      <w:pPr>
        <w:topLinePunct/>
        <w:spacing w:line="360" w:lineRule="auto"/>
        <w:rPr>
          <w:rFonts w:hint="default" w:eastAsia="宋体"/>
          <w:color w:val="000000"/>
          <w:sz w:val="24"/>
          <w:lang w:val="en-US" w:eastAsia="zh-CN"/>
        </w:rPr>
      </w:pPr>
      <w:r>
        <w:rPr>
          <w:color w:val="000000"/>
          <w:sz w:val="24"/>
        </w:rPr>
        <w:t>电      话：020-3</w:t>
      </w:r>
      <w:r>
        <w:rPr>
          <w:rFonts w:hint="eastAsia"/>
          <w:color w:val="000000"/>
          <w:sz w:val="24"/>
          <w:lang w:val="en-US" w:eastAsia="zh-CN"/>
        </w:rPr>
        <w:t>6827183</w:t>
      </w:r>
    </w:p>
    <w:p>
      <w:pPr>
        <w:topLinePunct/>
        <w:spacing w:line="360" w:lineRule="auto"/>
        <w:jc w:val="right"/>
        <w:rPr>
          <w:color w:val="000000"/>
          <w:sz w:val="24"/>
        </w:rPr>
      </w:pPr>
      <w:r>
        <w:rPr>
          <w:color w:val="000000"/>
          <w:sz w:val="24"/>
        </w:rPr>
        <w:t>广东诚泰交通科技发展有限公司</w:t>
      </w:r>
    </w:p>
    <w:p>
      <w:pPr>
        <w:topLinePunct/>
        <w:spacing w:line="360" w:lineRule="auto"/>
        <w:jc w:val="center"/>
        <w:rPr>
          <w:color w:val="000000"/>
          <w:sz w:val="24"/>
        </w:rPr>
      </w:pPr>
      <w:r>
        <w:rPr>
          <w:color w:val="000000"/>
          <w:sz w:val="24"/>
        </w:rPr>
        <w:t xml:space="preserve">                                              2022年11月</w:t>
      </w:r>
      <w:r>
        <w:rPr>
          <w:rFonts w:hint="eastAsia"/>
          <w:color w:val="000000"/>
          <w:sz w:val="24"/>
          <w:lang w:val="en-US" w:eastAsia="zh-CN"/>
        </w:rPr>
        <w:t>21</w:t>
      </w:r>
      <w:bookmarkStart w:id="4" w:name="_GoBack"/>
      <w:bookmarkEnd w:id="4"/>
      <w:r>
        <w:rPr>
          <w:color w:val="000000"/>
          <w:sz w:val="24"/>
        </w:rPr>
        <w:t>日</w:t>
      </w:r>
    </w:p>
    <w:p>
      <w:pPr>
        <w:spacing w:line="360" w:lineRule="auto"/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AAEB739B"/>
    <w:multiLevelType w:val="singleLevel"/>
    <w:tmpl w:val="AAEB739B"/>
    <w:lvl w:ilvl="0" w:tentative="0">
      <w:start w:val="1"/>
      <w:numFmt w:val="decimal"/>
      <w:lvlText w:val="%1."/>
      <w:lvlJc w:val="left"/>
      <w:pPr>
        <w:tabs>
          <w:tab w:val="left" w:pos="312"/>
        </w:tabs>
      </w:pPr>
    </w:lvl>
  </w:abstractNum>
  <w:abstractNum w:abstractNumId="1">
    <w:nsid w:val="CEC06D5F"/>
    <w:multiLevelType w:val="singleLevel"/>
    <w:tmpl w:val="CEC06D5F"/>
    <w:lvl w:ilvl="0" w:tentative="0">
      <w:start w:val="1"/>
      <w:numFmt w:val="decimal"/>
      <w:suff w:val="nothing"/>
      <w:lvlText w:val="（%1）"/>
      <w:lvlJc w:val="left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NzFlMzQ0Y2M1ZTJlYTM0MzMxMjI2MjEzYTcxZjBlYzMifQ=="/>
  </w:docVars>
  <w:rsids>
    <w:rsidRoot w:val="007B3FC1"/>
    <w:rsid w:val="00413BF6"/>
    <w:rsid w:val="004D4F5D"/>
    <w:rsid w:val="007543F0"/>
    <w:rsid w:val="007B3FC1"/>
    <w:rsid w:val="00B87A4F"/>
    <w:rsid w:val="00BA02C2"/>
    <w:rsid w:val="00C84801"/>
    <w:rsid w:val="00D8152D"/>
    <w:rsid w:val="00F05DAD"/>
    <w:rsid w:val="072948AA"/>
    <w:rsid w:val="08CE4CE9"/>
    <w:rsid w:val="0A69025B"/>
    <w:rsid w:val="0DA26991"/>
    <w:rsid w:val="0F601A19"/>
    <w:rsid w:val="110018B9"/>
    <w:rsid w:val="12ED5CBA"/>
    <w:rsid w:val="143C29C8"/>
    <w:rsid w:val="169F376F"/>
    <w:rsid w:val="26013AFE"/>
    <w:rsid w:val="26243CBD"/>
    <w:rsid w:val="282A24A6"/>
    <w:rsid w:val="2E0860D1"/>
    <w:rsid w:val="34DB5F68"/>
    <w:rsid w:val="3BD15CF7"/>
    <w:rsid w:val="3C295248"/>
    <w:rsid w:val="3EFD65C9"/>
    <w:rsid w:val="4044389B"/>
    <w:rsid w:val="41B33AA7"/>
    <w:rsid w:val="487B4BF3"/>
    <w:rsid w:val="49DC5C4D"/>
    <w:rsid w:val="52871060"/>
    <w:rsid w:val="576A0C54"/>
    <w:rsid w:val="57BF2D4E"/>
    <w:rsid w:val="58B74CBC"/>
    <w:rsid w:val="623B7383"/>
    <w:rsid w:val="62A01E1D"/>
    <w:rsid w:val="63166D1A"/>
    <w:rsid w:val="65922BE0"/>
    <w:rsid w:val="65B0017A"/>
    <w:rsid w:val="6D0B213A"/>
    <w:rsid w:val="76DA2952"/>
    <w:rsid w:val="7BA47E27"/>
    <w:rsid w:val="7F263D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99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iPriority="99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7">
    <w:name w:val="Default Paragraph Font"/>
    <w:semiHidden/>
    <w:unhideWhenUsed/>
    <w:qFormat/>
    <w:uiPriority w:val="1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Indent"/>
    <w:basedOn w:val="1"/>
    <w:qFormat/>
    <w:uiPriority w:val="99"/>
    <w:pPr>
      <w:ind w:firstLine="420" w:firstLineChars="200"/>
    </w:pPr>
  </w:style>
  <w:style w:type="paragraph" w:styleId="3">
    <w:name w:val="Plain Text"/>
    <w:basedOn w:val="1"/>
    <w:next w:val="1"/>
    <w:qFormat/>
    <w:uiPriority w:val="0"/>
    <w:rPr>
      <w:rFonts w:ascii="宋体" w:hAnsi="Courier New"/>
      <w:szCs w:val="20"/>
    </w:rPr>
  </w:style>
  <w:style w:type="paragraph" w:styleId="4">
    <w:name w:val="footer"/>
    <w:basedOn w:val="1"/>
    <w:link w:val="10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link w:val="9"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styleId="8">
    <w:name w:val="Hyperlink"/>
    <w:basedOn w:val="7"/>
    <w:unhideWhenUsed/>
    <w:qFormat/>
    <w:uiPriority w:val="99"/>
    <w:rPr>
      <w:color w:val="0563C1" w:themeColor="hyperlink"/>
      <w:u w:val="single"/>
      <w14:textFill>
        <w14:solidFill>
          <w14:schemeClr w14:val="hlink"/>
        </w14:solidFill>
      </w14:textFill>
    </w:rPr>
  </w:style>
  <w:style w:type="character" w:customStyle="1" w:styleId="9">
    <w:name w:val="页眉 字符"/>
    <w:basedOn w:val="7"/>
    <w:link w:val="5"/>
    <w:qFormat/>
    <w:uiPriority w:val="0"/>
    <w:rPr>
      <w:kern w:val="2"/>
      <w:sz w:val="18"/>
      <w:szCs w:val="18"/>
    </w:rPr>
  </w:style>
  <w:style w:type="character" w:customStyle="1" w:styleId="10">
    <w:name w:val="页脚 字符"/>
    <w:basedOn w:val="7"/>
    <w:link w:val="4"/>
    <w:qFormat/>
    <w:uiPriority w:val="0"/>
    <w:rPr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706</Words>
  <Characters>825</Characters>
  <Lines>6</Lines>
  <Paragraphs>1</Paragraphs>
  <TotalTime>0</TotalTime>
  <ScaleCrop>false</ScaleCrop>
  <LinksUpToDate>false</LinksUpToDate>
  <CharactersWithSpaces>891</CharactersWithSpaces>
  <Application>WPS Office_11.1.0.12598_F1E327BC-269C-435d-A152-05C5408002CA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2022-11-18T05:47:00Z</dcterms:created>
  <dc:creator>Administrator</dc:creator>
  <cp:lastModifiedBy>明敏</cp:lastModifiedBy>
  <cp:lastPrinted>2022-10-20T06:50:00Z</cp:lastPrinted>
  <dcterms:modified xsi:type="dcterms:W3CDTF">2022-11-21T00:37:55Z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2052-11.1.0.12598</vt:lpwstr>
  </property>
  <property fmtid="{D5CDD505-2E9C-101B-9397-08002B2CF9AE}" pid="3" name="ICV">
    <vt:lpwstr>B75484C30A0D48A998196F431A9A3E69</vt:lpwstr>
  </property>
</Properties>
</file>