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宋体" w:hAnsi="宋体" w:cs="宋体"/>
          <w:b/>
          <w:bCs/>
          <w:sz w:val="30"/>
          <w:szCs w:val="30"/>
          <w:lang w:eastAsia="zh-CN"/>
        </w:rPr>
        <w:t>“车载式桥梁健康状态评估技术研究”车载式桥梁频率识别方法及设备研发服务</w:t>
      </w:r>
      <w:r>
        <w:rPr>
          <w:rFonts w:hint="eastAsia" w:ascii="宋体" w:hAnsi="宋体" w:cs="宋体"/>
          <w:b/>
          <w:bCs/>
          <w:sz w:val="30"/>
          <w:szCs w:val="30"/>
          <w:lang w:val="en-US" w:eastAsia="zh-CN"/>
        </w:rPr>
        <w:t>询价意向征集公告</w:t>
      </w:r>
    </w:p>
    <w:p>
      <w:pPr>
        <w:numPr>
          <w:ilvl w:val="0"/>
          <w:numId w:val="1"/>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rPr>
        <w:t>项目</w:t>
      </w:r>
      <w:r>
        <w:rPr>
          <w:rFonts w:hint="eastAsia" w:ascii="宋体" w:hAnsi="宋体"/>
          <w:b/>
          <w:snapToGrid w:val="0"/>
          <w:color w:val="auto"/>
          <w:kern w:val="0"/>
          <w:sz w:val="24"/>
          <w:lang w:val="en-US" w:eastAsia="zh-CN"/>
        </w:rPr>
        <w:t>基本</w:t>
      </w:r>
      <w:r>
        <w:rPr>
          <w:rFonts w:hint="eastAsia" w:ascii="宋体" w:hAnsi="宋体"/>
          <w:b/>
          <w:snapToGrid w:val="0"/>
          <w:color w:val="auto"/>
          <w:kern w:val="0"/>
          <w:sz w:val="24"/>
        </w:rPr>
        <w:t>概况</w:t>
      </w:r>
    </w:p>
    <w:p>
      <w:pPr>
        <w:wordWrap w:val="0"/>
        <w:topLinePunct/>
        <w:spacing w:line="360" w:lineRule="auto"/>
        <w:ind w:firstLine="566" w:firstLineChars="236"/>
        <w:rPr>
          <w:rFonts w:hint="eastAsia" w:ascii="宋体" w:hAnsi="宋体" w:cs="宋体"/>
          <w:sz w:val="24"/>
          <w:lang w:val="en-US" w:eastAsia="zh-CN"/>
        </w:rPr>
      </w:pPr>
      <w:r>
        <w:rPr>
          <w:rFonts w:hint="eastAsia" w:ascii="宋体" w:hAnsi="宋体" w:eastAsia="宋体" w:cs="Times New Roman"/>
          <w:color w:val="auto"/>
          <w:kern w:val="2"/>
          <w:sz w:val="24"/>
          <w:szCs w:val="24"/>
          <w:highlight w:val="none"/>
          <w:lang w:val="en-US" w:eastAsia="zh-CN" w:bidi="ar-SA"/>
        </w:rPr>
        <w:t>1.1</w:t>
      </w:r>
      <w:r>
        <w:rPr>
          <w:rFonts w:hint="eastAsia" w:ascii="宋体" w:hAnsi="宋体" w:eastAsia="宋体" w:cs="宋体"/>
          <w:sz w:val="24"/>
        </w:rPr>
        <w:t>项目概况、范围：“车载式桥梁健康状态评估技术研究”车载式桥梁频率识别方法及设备研发服务</w:t>
      </w:r>
      <w:r>
        <w:rPr>
          <w:rFonts w:hint="eastAsia" w:ascii="宋体" w:hAnsi="宋体" w:cs="宋体"/>
          <w:sz w:val="24"/>
          <w:lang w:val="en-US" w:eastAsia="zh-CN"/>
        </w:rPr>
        <w:t>。</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3408"/>
        <w:gridCol w:w="1246"/>
        <w:gridCol w:w="881"/>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szCs w:val="21"/>
                <w:highlight w:val="none"/>
              </w:rPr>
            </w:pPr>
            <w:r>
              <w:rPr>
                <w:rFonts w:hint="eastAsia"/>
                <w:szCs w:val="21"/>
                <w:highlight w:val="none"/>
              </w:rPr>
              <w:t>序号</w:t>
            </w:r>
          </w:p>
        </w:tc>
        <w:tc>
          <w:tcPr>
            <w:tcW w:w="2000" w:type="pct"/>
            <w:noWrap w:val="0"/>
            <w:vAlign w:val="center"/>
          </w:tcPr>
          <w:p>
            <w:pPr>
              <w:spacing w:line="360" w:lineRule="auto"/>
              <w:jc w:val="center"/>
              <w:rPr>
                <w:szCs w:val="21"/>
                <w:highlight w:val="none"/>
              </w:rPr>
            </w:pPr>
            <w:r>
              <w:rPr>
                <w:rFonts w:hint="eastAsia"/>
                <w:szCs w:val="21"/>
                <w:highlight w:val="none"/>
              </w:rPr>
              <w:t>工作内容</w:t>
            </w:r>
          </w:p>
        </w:tc>
        <w:tc>
          <w:tcPr>
            <w:tcW w:w="731" w:type="pct"/>
            <w:noWrap w:val="0"/>
            <w:vAlign w:val="center"/>
          </w:tcPr>
          <w:p>
            <w:pPr>
              <w:spacing w:line="360" w:lineRule="auto"/>
              <w:jc w:val="center"/>
              <w:rPr>
                <w:szCs w:val="21"/>
                <w:highlight w:val="none"/>
              </w:rPr>
            </w:pPr>
            <w:r>
              <w:rPr>
                <w:rFonts w:hint="eastAsia"/>
                <w:szCs w:val="21"/>
                <w:highlight w:val="none"/>
              </w:rPr>
              <w:t>数量</w:t>
            </w:r>
          </w:p>
        </w:tc>
        <w:tc>
          <w:tcPr>
            <w:tcW w:w="517" w:type="pct"/>
            <w:noWrap w:val="0"/>
            <w:vAlign w:val="center"/>
          </w:tcPr>
          <w:p>
            <w:pPr>
              <w:spacing w:line="360" w:lineRule="auto"/>
              <w:jc w:val="center"/>
              <w:rPr>
                <w:szCs w:val="21"/>
                <w:highlight w:val="none"/>
              </w:rPr>
            </w:pPr>
            <w:r>
              <w:rPr>
                <w:rFonts w:hint="eastAsia"/>
                <w:szCs w:val="21"/>
                <w:highlight w:val="none"/>
              </w:rPr>
              <w:t>单位</w:t>
            </w:r>
          </w:p>
        </w:tc>
        <w:tc>
          <w:tcPr>
            <w:tcW w:w="1208" w:type="pct"/>
            <w:noWrap w:val="0"/>
            <w:vAlign w:val="center"/>
          </w:tcPr>
          <w:p>
            <w:pPr>
              <w:spacing w:line="360" w:lineRule="auto"/>
              <w:jc w:val="center"/>
              <w:rPr>
                <w:szCs w:val="21"/>
                <w:highlight w:val="none"/>
              </w:rPr>
            </w:pPr>
            <w:r>
              <w:rPr>
                <w:rFonts w:hint="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szCs w:val="21"/>
                <w:highlight w:val="none"/>
              </w:rPr>
            </w:pPr>
            <w:r>
              <w:rPr>
                <w:szCs w:val="21"/>
                <w:highlight w:val="none"/>
              </w:rPr>
              <w:t>1</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车载式桥梁频率识别方法理论研究及试验</w:t>
            </w:r>
          </w:p>
        </w:tc>
        <w:tc>
          <w:tcPr>
            <w:tcW w:w="731" w:type="pct"/>
            <w:noWrap w:val="0"/>
            <w:vAlign w:val="center"/>
          </w:tcPr>
          <w:p>
            <w:pPr>
              <w:spacing w:line="360" w:lineRule="auto"/>
              <w:jc w:val="center"/>
              <w:rPr>
                <w:szCs w:val="21"/>
                <w:highlight w:val="none"/>
              </w:rPr>
            </w:pPr>
            <w:r>
              <w:rPr>
                <w:rFonts w:hint="eastAsia"/>
                <w:szCs w:val="21"/>
                <w:highlight w:val="none"/>
              </w:rPr>
              <w:t>1</w:t>
            </w:r>
          </w:p>
        </w:tc>
        <w:tc>
          <w:tcPr>
            <w:tcW w:w="517" w:type="pct"/>
            <w:noWrap w:val="0"/>
            <w:vAlign w:val="center"/>
          </w:tcPr>
          <w:p>
            <w:pPr>
              <w:spacing w:line="300" w:lineRule="exact"/>
              <w:jc w:val="center"/>
              <w:rPr>
                <w:szCs w:val="21"/>
                <w:highlight w:val="none"/>
              </w:rPr>
            </w:pPr>
            <w:r>
              <w:rPr>
                <w:rFonts w:hint="eastAsia"/>
                <w:szCs w:val="21"/>
                <w:highlight w:val="none"/>
              </w:rPr>
              <w:t>项</w:t>
            </w:r>
          </w:p>
        </w:tc>
        <w:tc>
          <w:tcPr>
            <w:tcW w:w="1208" w:type="pct"/>
            <w:noWrap w:val="0"/>
            <w:vAlign w:val="center"/>
          </w:tcPr>
          <w:p>
            <w:pPr>
              <w:spacing w:line="360" w:lineRule="auto"/>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szCs w:val="21"/>
                <w:highlight w:val="none"/>
              </w:rPr>
            </w:pPr>
            <w:r>
              <w:rPr>
                <w:rFonts w:hint="eastAsia"/>
                <w:szCs w:val="21"/>
                <w:highlight w:val="none"/>
              </w:rPr>
              <w:t>2</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车载式桥梁频率识别软件算法研究</w:t>
            </w:r>
          </w:p>
        </w:tc>
        <w:tc>
          <w:tcPr>
            <w:tcW w:w="731" w:type="pct"/>
            <w:noWrap w:val="0"/>
            <w:vAlign w:val="center"/>
          </w:tcPr>
          <w:p>
            <w:pPr>
              <w:spacing w:line="360" w:lineRule="auto"/>
              <w:jc w:val="center"/>
              <w:rPr>
                <w:szCs w:val="21"/>
                <w:highlight w:val="none"/>
              </w:rPr>
            </w:pPr>
            <w:r>
              <w:rPr>
                <w:rFonts w:hint="eastAsia"/>
                <w:szCs w:val="21"/>
                <w:highlight w:val="none"/>
              </w:rPr>
              <w:t>1</w:t>
            </w:r>
          </w:p>
        </w:tc>
        <w:tc>
          <w:tcPr>
            <w:tcW w:w="517" w:type="pct"/>
            <w:noWrap w:val="0"/>
            <w:vAlign w:val="center"/>
          </w:tcPr>
          <w:p>
            <w:pPr>
              <w:spacing w:line="300" w:lineRule="exact"/>
              <w:jc w:val="center"/>
              <w:rPr>
                <w:szCs w:val="21"/>
                <w:highlight w:val="none"/>
              </w:rPr>
            </w:pPr>
            <w:r>
              <w:rPr>
                <w:rFonts w:hint="eastAsia"/>
                <w:szCs w:val="21"/>
                <w:highlight w:val="none"/>
              </w:rPr>
              <w:t>项</w:t>
            </w:r>
          </w:p>
        </w:tc>
        <w:tc>
          <w:tcPr>
            <w:tcW w:w="1208" w:type="pct"/>
            <w:noWrap w:val="0"/>
            <w:vAlign w:val="center"/>
          </w:tcPr>
          <w:p>
            <w:pPr>
              <w:spacing w:line="360" w:lineRule="auto"/>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szCs w:val="21"/>
                <w:highlight w:val="none"/>
              </w:rPr>
            </w:pPr>
            <w:r>
              <w:rPr>
                <w:rFonts w:hint="eastAsia"/>
                <w:szCs w:val="21"/>
                <w:highlight w:val="none"/>
              </w:rPr>
              <w:t>3</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车载式桥梁频率识别设备研发</w:t>
            </w:r>
          </w:p>
        </w:tc>
        <w:tc>
          <w:tcPr>
            <w:tcW w:w="731" w:type="pct"/>
            <w:noWrap w:val="0"/>
            <w:vAlign w:val="center"/>
          </w:tcPr>
          <w:p>
            <w:pPr>
              <w:spacing w:line="360" w:lineRule="auto"/>
              <w:jc w:val="center"/>
              <w:rPr>
                <w:szCs w:val="21"/>
                <w:highlight w:val="none"/>
              </w:rPr>
            </w:pPr>
            <w:r>
              <w:rPr>
                <w:rFonts w:hint="eastAsia"/>
                <w:szCs w:val="21"/>
                <w:highlight w:val="none"/>
              </w:rPr>
              <w:t>1</w:t>
            </w:r>
          </w:p>
        </w:tc>
        <w:tc>
          <w:tcPr>
            <w:tcW w:w="517" w:type="pct"/>
            <w:noWrap w:val="0"/>
            <w:vAlign w:val="center"/>
          </w:tcPr>
          <w:p>
            <w:pPr>
              <w:spacing w:line="300" w:lineRule="exact"/>
              <w:jc w:val="center"/>
              <w:rPr>
                <w:szCs w:val="21"/>
                <w:highlight w:val="none"/>
              </w:rPr>
            </w:pPr>
            <w:r>
              <w:rPr>
                <w:rFonts w:hint="eastAsia"/>
                <w:szCs w:val="21"/>
                <w:highlight w:val="none"/>
              </w:rPr>
              <w:t>项</w:t>
            </w:r>
          </w:p>
        </w:tc>
        <w:tc>
          <w:tcPr>
            <w:tcW w:w="1208" w:type="pct"/>
            <w:noWrap w:val="0"/>
            <w:vAlign w:val="center"/>
          </w:tcPr>
          <w:p>
            <w:pPr>
              <w:spacing w:line="360" w:lineRule="auto"/>
              <w:jc w:val="center"/>
              <w:rPr>
                <w:rFonts w:hint="default" w:eastAsia="宋体"/>
                <w:szCs w:val="21"/>
                <w:highlight w:val="none"/>
                <w:lang w:val="en-US" w:eastAsia="zh-CN"/>
              </w:rPr>
            </w:pPr>
            <w:r>
              <w:rPr>
                <w:rFonts w:hint="eastAsia"/>
                <w:szCs w:val="21"/>
                <w:highlight w:val="none"/>
                <w:lang w:val="en-US" w:eastAsia="zh-CN"/>
              </w:rPr>
              <w:t>完成设计方案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szCs w:val="21"/>
                <w:highlight w:val="none"/>
              </w:rPr>
            </w:pPr>
            <w:r>
              <w:rPr>
                <w:rFonts w:hint="eastAsia"/>
                <w:szCs w:val="21"/>
                <w:highlight w:val="none"/>
              </w:rPr>
              <w:t>4</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研究报告编制</w:t>
            </w:r>
          </w:p>
        </w:tc>
        <w:tc>
          <w:tcPr>
            <w:tcW w:w="731" w:type="pct"/>
            <w:noWrap w:val="0"/>
            <w:vAlign w:val="center"/>
          </w:tcPr>
          <w:p>
            <w:pPr>
              <w:spacing w:line="360" w:lineRule="auto"/>
              <w:jc w:val="center"/>
              <w:rPr>
                <w:szCs w:val="21"/>
                <w:highlight w:val="none"/>
              </w:rPr>
            </w:pPr>
            <w:r>
              <w:rPr>
                <w:rFonts w:hint="eastAsia"/>
                <w:szCs w:val="21"/>
                <w:highlight w:val="none"/>
              </w:rPr>
              <w:t>1</w:t>
            </w:r>
          </w:p>
        </w:tc>
        <w:tc>
          <w:tcPr>
            <w:tcW w:w="517" w:type="pct"/>
            <w:noWrap w:val="0"/>
            <w:vAlign w:val="center"/>
          </w:tcPr>
          <w:p>
            <w:pPr>
              <w:spacing w:line="300" w:lineRule="exact"/>
              <w:jc w:val="center"/>
              <w:rPr>
                <w:szCs w:val="21"/>
                <w:highlight w:val="none"/>
              </w:rPr>
            </w:pPr>
            <w:r>
              <w:rPr>
                <w:rFonts w:hint="eastAsia"/>
                <w:szCs w:val="21"/>
                <w:highlight w:val="none"/>
              </w:rPr>
              <w:t>本</w:t>
            </w:r>
          </w:p>
        </w:tc>
        <w:tc>
          <w:tcPr>
            <w:tcW w:w="1208" w:type="pct"/>
            <w:noWrap w:val="0"/>
            <w:vAlign w:val="center"/>
          </w:tcPr>
          <w:p>
            <w:pPr>
              <w:spacing w:line="360" w:lineRule="auto"/>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rFonts w:hint="eastAsia"/>
                <w:szCs w:val="21"/>
                <w:highlight w:val="none"/>
              </w:rPr>
            </w:pPr>
            <w:r>
              <w:rPr>
                <w:rFonts w:hint="eastAsia"/>
                <w:szCs w:val="21"/>
                <w:highlight w:val="none"/>
              </w:rPr>
              <w:t>5</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论文撰写及发表</w:t>
            </w:r>
          </w:p>
        </w:tc>
        <w:tc>
          <w:tcPr>
            <w:tcW w:w="731" w:type="pct"/>
            <w:noWrap w:val="0"/>
            <w:vAlign w:val="center"/>
          </w:tcPr>
          <w:p>
            <w:pPr>
              <w:spacing w:line="360" w:lineRule="auto"/>
              <w:jc w:val="center"/>
              <w:rPr>
                <w:rFonts w:hint="eastAsia"/>
                <w:szCs w:val="21"/>
                <w:highlight w:val="none"/>
              </w:rPr>
            </w:pPr>
            <w:r>
              <w:rPr>
                <w:rFonts w:hint="eastAsia"/>
                <w:szCs w:val="21"/>
                <w:highlight w:val="none"/>
              </w:rPr>
              <w:t>4</w:t>
            </w:r>
          </w:p>
        </w:tc>
        <w:tc>
          <w:tcPr>
            <w:tcW w:w="517" w:type="pct"/>
            <w:noWrap w:val="0"/>
            <w:vAlign w:val="center"/>
          </w:tcPr>
          <w:p>
            <w:pPr>
              <w:spacing w:line="300" w:lineRule="exact"/>
              <w:jc w:val="center"/>
              <w:rPr>
                <w:rFonts w:hint="eastAsia"/>
                <w:szCs w:val="21"/>
                <w:highlight w:val="none"/>
              </w:rPr>
            </w:pPr>
            <w:r>
              <w:rPr>
                <w:rFonts w:hint="eastAsia"/>
                <w:szCs w:val="21"/>
                <w:highlight w:val="none"/>
              </w:rPr>
              <w:t>篇</w:t>
            </w:r>
          </w:p>
        </w:tc>
        <w:tc>
          <w:tcPr>
            <w:tcW w:w="1208" w:type="pct"/>
            <w:noWrap w:val="0"/>
            <w:vAlign w:val="center"/>
          </w:tcPr>
          <w:p>
            <w:pPr>
              <w:spacing w:line="360" w:lineRule="auto"/>
              <w:jc w:val="center"/>
              <w:rPr>
                <w:rFonts w:hint="eastAsia"/>
                <w:szCs w:val="21"/>
                <w:highlight w:val="none"/>
              </w:rPr>
            </w:pPr>
            <w:r>
              <w:rPr>
                <w:rFonts w:hint="eastAsia"/>
                <w:szCs w:val="21"/>
                <w:highlight w:val="none"/>
              </w:rPr>
              <w:t>中文核心或同等层次以上学术论文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3" w:type="pct"/>
            <w:noWrap w:val="0"/>
            <w:vAlign w:val="center"/>
          </w:tcPr>
          <w:p>
            <w:pPr>
              <w:spacing w:line="360" w:lineRule="auto"/>
              <w:jc w:val="center"/>
              <w:rPr>
                <w:rFonts w:hint="eastAsia"/>
                <w:szCs w:val="21"/>
                <w:highlight w:val="none"/>
              </w:rPr>
            </w:pPr>
            <w:r>
              <w:rPr>
                <w:rFonts w:hint="eastAsia"/>
                <w:szCs w:val="21"/>
                <w:highlight w:val="none"/>
              </w:rPr>
              <w:t>6</w:t>
            </w:r>
          </w:p>
        </w:tc>
        <w:tc>
          <w:tcPr>
            <w:tcW w:w="2000" w:type="pct"/>
            <w:noWrap w:val="0"/>
            <w:vAlign w:val="center"/>
          </w:tcPr>
          <w:p>
            <w:pPr>
              <w:spacing w:line="360" w:lineRule="auto"/>
              <w:jc w:val="center"/>
              <w:rPr>
                <w:rFonts w:hint="eastAsia" w:ascii="Calibri" w:hAnsi="Calibri" w:eastAsia="宋体" w:cs="Times New Roman"/>
                <w:szCs w:val="21"/>
                <w:highlight w:val="none"/>
              </w:rPr>
            </w:pPr>
            <w:r>
              <w:rPr>
                <w:rFonts w:hint="eastAsia" w:ascii="Calibri" w:hAnsi="Calibri" w:eastAsia="宋体" w:cs="Times New Roman"/>
                <w:szCs w:val="21"/>
                <w:highlight w:val="none"/>
              </w:rPr>
              <w:t>发明专利</w:t>
            </w:r>
          </w:p>
        </w:tc>
        <w:tc>
          <w:tcPr>
            <w:tcW w:w="731" w:type="pct"/>
            <w:noWrap w:val="0"/>
            <w:vAlign w:val="center"/>
          </w:tcPr>
          <w:p>
            <w:pPr>
              <w:spacing w:line="360" w:lineRule="auto"/>
              <w:jc w:val="center"/>
              <w:rPr>
                <w:rFonts w:hint="eastAsia"/>
                <w:szCs w:val="21"/>
                <w:highlight w:val="none"/>
              </w:rPr>
            </w:pPr>
            <w:r>
              <w:rPr>
                <w:rFonts w:hint="eastAsia"/>
                <w:szCs w:val="21"/>
                <w:highlight w:val="none"/>
              </w:rPr>
              <w:t>2</w:t>
            </w:r>
          </w:p>
        </w:tc>
        <w:tc>
          <w:tcPr>
            <w:tcW w:w="517" w:type="pct"/>
            <w:noWrap w:val="0"/>
            <w:vAlign w:val="center"/>
          </w:tcPr>
          <w:p>
            <w:pPr>
              <w:spacing w:line="300" w:lineRule="exact"/>
              <w:jc w:val="center"/>
              <w:rPr>
                <w:rFonts w:hint="eastAsia"/>
                <w:szCs w:val="21"/>
                <w:highlight w:val="none"/>
              </w:rPr>
            </w:pPr>
            <w:r>
              <w:rPr>
                <w:rFonts w:hint="eastAsia"/>
                <w:szCs w:val="21"/>
                <w:highlight w:val="none"/>
              </w:rPr>
              <w:t>项</w:t>
            </w:r>
          </w:p>
        </w:tc>
        <w:tc>
          <w:tcPr>
            <w:tcW w:w="1208" w:type="pct"/>
            <w:noWrap w:val="0"/>
            <w:vAlign w:val="center"/>
          </w:tcPr>
          <w:p>
            <w:pPr>
              <w:spacing w:line="360" w:lineRule="auto"/>
              <w:jc w:val="center"/>
              <w:rPr>
                <w:rFonts w:hint="eastAsia"/>
                <w:szCs w:val="21"/>
                <w:highlight w:val="none"/>
              </w:rPr>
            </w:pPr>
          </w:p>
        </w:tc>
      </w:tr>
    </w:tbl>
    <w:p>
      <w:pPr>
        <w:wordWrap w:val="0"/>
        <w:topLinePunct/>
        <w:spacing w:line="360" w:lineRule="auto"/>
        <w:ind w:firstLine="566" w:firstLineChars="236"/>
        <w:rPr>
          <w:rFonts w:hint="default"/>
          <w:lang w:val="en-US" w:eastAsia="zh-CN"/>
        </w:rPr>
      </w:pPr>
      <w:r>
        <w:rPr>
          <w:rFonts w:hint="eastAsia" w:ascii="宋体" w:hAnsi="宋体"/>
          <w:color w:val="auto"/>
          <w:sz w:val="24"/>
          <w:lang w:val="en-US" w:eastAsia="zh-CN"/>
        </w:rPr>
        <w:t>工作内容如下：</w:t>
      </w:r>
    </w:p>
    <w:p>
      <w:pPr>
        <w:tabs>
          <w:tab w:val="left" w:pos="4500"/>
        </w:tabs>
        <w:spacing w:line="460" w:lineRule="exact"/>
        <w:ind w:firstLine="480" w:firstLineChars="200"/>
        <w:rPr>
          <w:rFonts w:hint="eastAsia" w:ascii="宋体" w:hAnsi="宋体" w:eastAsia="宋体" w:cs="宋体"/>
          <w:sz w:val="24"/>
        </w:rPr>
      </w:pPr>
      <w:r>
        <w:rPr>
          <w:rFonts w:hint="eastAsia" w:ascii="宋体" w:hAnsi="宋体" w:eastAsia="宋体" w:cs="宋体"/>
          <w:sz w:val="24"/>
        </w:rPr>
        <w:t>（1）车载式桥梁频率识别方法理论研究及试验；（2）</w:t>
      </w:r>
      <w:bookmarkStart w:id="0" w:name="_Hlk115343166"/>
      <w:r>
        <w:rPr>
          <w:rFonts w:hint="eastAsia" w:ascii="宋体" w:hAnsi="宋体" w:eastAsia="宋体" w:cs="宋体"/>
          <w:sz w:val="24"/>
        </w:rPr>
        <w:t>车载式桥梁频率识别软件算法研究</w:t>
      </w:r>
      <w:bookmarkEnd w:id="0"/>
      <w:r>
        <w:rPr>
          <w:rFonts w:hint="eastAsia" w:ascii="宋体" w:hAnsi="宋体" w:eastAsia="宋体" w:cs="宋体"/>
          <w:sz w:val="24"/>
        </w:rPr>
        <w:t>；（3）车载式桥梁频率识别设备研发；（4）车载式桥梁频率识别成果申报。</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1.2服务期：</w:t>
      </w:r>
      <w:r>
        <w:rPr>
          <w:rFonts w:hint="eastAsia" w:ascii="宋体" w:hAnsi="宋体" w:eastAsia="宋体" w:cs="宋体"/>
          <w:sz w:val="24"/>
        </w:rPr>
        <w:t>360个日历天</w:t>
      </w:r>
      <w:r>
        <w:rPr>
          <w:rFonts w:hint="eastAsia" w:ascii="宋体" w:hAnsi="宋体"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1.3最高报价限价：</w:t>
      </w:r>
      <w:r>
        <w:rPr>
          <w:rFonts w:hint="eastAsia" w:ascii="宋体" w:hAnsi="宋体" w:cs="Times New Roman"/>
          <w:color w:val="auto"/>
          <w:kern w:val="2"/>
          <w:sz w:val="24"/>
          <w:szCs w:val="24"/>
          <w:highlight w:val="none"/>
          <w:lang w:val="en-US" w:eastAsia="zh-CN" w:bidi="ar-SA"/>
        </w:rPr>
        <w:t>48万</w:t>
      </w:r>
      <w:r>
        <w:rPr>
          <w:rFonts w:hint="eastAsia" w:ascii="宋体" w:hAnsi="宋体" w:eastAsia="宋体" w:cs="Times New Roman"/>
          <w:color w:val="auto"/>
          <w:kern w:val="2"/>
          <w:sz w:val="24"/>
          <w:szCs w:val="24"/>
          <w:highlight w:val="none"/>
          <w:lang w:val="en-US" w:eastAsia="zh-CN" w:bidi="ar-SA"/>
        </w:rPr>
        <w:t>元。</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1.4项目所在地：</w:t>
      </w:r>
      <w:r>
        <w:rPr>
          <w:rFonts w:hint="eastAsia" w:ascii="宋体" w:hAnsi="宋体" w:cs="Times New Roman"/>
          <w:color w:val="auto"/>
          <w:kern w:val="2"/>
          <w:sz w:val="24"/>
          <w:szCs w:val="24"/>
          <w:highlight w:val="none"/>
          <w:lang w:val="en-US" w:eastAsia="zh-CN" w:bidi="ar-SA"/>
        </w:rPr>
        <w:t>广州市</w:t>
      </w:r>
      <w:r>
        <w:rPr>
          <w:rFonts w:hint="eastAsia" w:ascii="宋体" w:hAnsi="宋体" w:eastAsia="宋体" w:cs="Times New Roman"/>
          <w:color w:val="auto"/>
          <w:kern w:val="2"/>
          <w:sz w:val="24"/>
          <w:szCs w:val="24"/>
          <w:highlight w:val="none"/>
          <w:lang w:val="en-US" w:eastAsia="zh-CN" w:bidi="ar-SA"/>
        </w:rPr>
        <w:t>。</w:t>
      </w:r>
    </w:p>
    <w:p>
      <w:pPr>
        <w:numPr>
          <w:ilvl w:val="0"/>
          <w:numId w:val="0"/>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lang w:val="en-US" w:eastAsia="zh-CN"/>
        </w:rPr>
        <w:t>2.</w:t>
      </w:r>
      <w:r>
        <w:rPr>
          <w:rFonts w:hint="eastAsia" w:ascii="宋体" w:hAnsi="宋体"/>
          <w:b/>
          <w:snapToGrid w:val="0"/>
          <w:color w:val="auto"/>
          <w:kern w:val="0"/>
          <w:sz w:val="24"/>
        </w:rPr>
        <w:t>技术要求</w:t>
      </w:r>
      <w:bookmarkStart w:id="7" w:name="_GoBack"/>
      <w:bookmarkEnd w:id="7"/>
    </w:p>
    <w:p>
      <w:pPr>
        <w:tabs>
          <w:tab w:val="left" w:pos="4500"/>
        </w:tabs>
        <w:spacing w:line="460" w:lineRule="exact"/>
        <w:ind w:firstLine="480" w:firstLineChars="200"/>
        <w:rPr>
          <w:rFonts w:hint="eastAsia" w:ascii="宋体" w:hAnsi="宋体" w:eastAsia="宋体" w:cs="宋体"/>
          <w:sz w:val="24"/>
        </w:rPr>
      </w:pPr>
      <w:r>
        <w:rPr>
          <w:rFonts w:hint="eastAsia" w:ascii="宋体" w:hAnsi="宋体" w:cs="宋体"/>
          <w:sz w:val="24"/>
          <w:lang w:val="en-US" w:eastAsia="zh-CN"/>
        </w:rPr>
        <w:t>2.1</w:t>
      </w:r>
      <w:r>
        <w:rPr>
          <w:rFonts w:hint="eastAsia" w:ascii="宋体" w:hAnsi="宋体" w:eastAsia="宋体" w:cs="宋体"/>
          <w:sz w:val="24"/>
        </w:rPr>
        <w:t>满足研究类项目的常规要求。</w:t>
      </w:r>
    </w:p>
    <w:p>
      <w:pPr>
        <w:tabs>
          <w:tab w:val="left" w:pos="4500"/>
        </w:tabs>
        <w:spacing w:line="460" w:lineRule="exact"/>
        <w:ind w:firstLine="480" w:firstLineChars="200"/>
        <w:rPr>
          <w:rFonts w:hint="eastAsia" w:ascii="宋体" w:hAnsi="宋体"/>
          <w:color w:val="auto"/>
          <w:sz w:val="24"/>
          <w:highlight w:val="none"/>
        </w:rPr>
      </w:pPr>
      <w:r>
        <w:rPr>
          <w:rFonts w:hint="eastAsia" w:ascii="宋体" w:hAnsi="宋体" w:cs="宋体"/>
          <w:sz w:val="24"/>
          <w:lang w:val="en-US" w:eastAsia="zh-CN"/>
        </w:rPr>
        <w:t>2.2</w:t>
      </w:r>
      <w:r>
        <w:rPr>
          <w:rFonts w:hint="eastAsia" w:ascii="宋体" w:hAnsi="宋体" w:eastAsia="宋体" w:cs="宋体"/>
          <w:sz w:val="24"/>
        </w:rPr>
        <w:t>符合甲方的管理要求。</w:t>
      </w:r>
    </w:p>
    <w:p>
      <w:pPr>
        <w:topLinePunct/>
        <w:spacing w:line="360" w:lineRule="auto"/>
        <w:outlineLvl w:val="1"/>
        <w:rPr>
          <w:rFonts w:hint="eastAsia" w:ascii="宋体" w:hAnsi="宋体"/>
          <w:b/>
          <w:snapToGrid w:val="0"/>
          <w:color w:val="auto"/>
          <w:kern w:val="0"/>
          <w:sz w:val="24"/>
          <w:lang w:val="en-US" w:eastAsia="zh-CN"/>
        </w:rPr>
      </w:pPr>
      <w:r>
        <w:rPr>
          <w:rFonts w:hint="eastAsia" w:ascii="宋体" w:hAnsi="宋体"/>
          <w:b/>
          <w:snapToGrid w:val="0"/>
          <w:color w:val="auto"/>
          <w:kern w:val="0"/>
          <w:sz w:val="24"/>
          <w:lang w:val="en-US" w:eastAsia="zh-CN"/>
        </w:rPr>
        <w:t>3.供应商资格条件</w:t>
      </w:r>
    </w:p>
    <w:p>
      <w:pPr>
        <w:pStyle w:val="2"/>
        <w:rPr>
          <w:rFonts w:hint="default"/>
          <w:lang w:val="en-US" w:eastAsia="zh-CN"/>
        </w:rPr>
      </w:pPr>
      <w:r>
        <w:rPr>
          <w:rFonts w:hint="eastAsia" w:ascii="宋体" w:hAnsi="宋体"/>
          <w:color w:val="auto"/>
          <w:sz w:val="24"/>
          <w:highlight w:val="none"/>
          <w:lang w:val="en-US" w:eastAsia="zh-CN"/>
        </w:rPr>
        <w:t>详见附录资格审查条件。</w:t>
      </w:r>
    </w:p>
    <w:p>
      <w:pPr>
        <w:topLinePunct/>
        <w:spacing w:line="360" w:lineRule="auto"/>
        <w:outlineLvl w:val="1"/>
        <w:rPr>
          <w:rFonts w:hint="default" w:ascii="宋体"/>
          <w:b/>
          <w:snapToGrid w:val="0"/>
          <w:color w:val="auto"/>
          <w:kern w:val="0"/>
          <w:sz w:val="24"/>
          <w:lang w:val="en-US"/>
        </w:rPr>
      </w:pPr>
      <w:r>
        <w:rPr>
          <w:rFonts w:hint="eastAsia" w:ascii="宋体" w:hAnsi="宋体"/>
          <w:b/>
          <w:snapToGrid w:val="0"/>
          <w:color w:val="auto"/>
          <w:kern w:val="0"/>
          <w:sz w:val="24"/>
          <w:lang w:val="en-US" w:eastAsia="zh-CN"/>
        </w:rPr>
        <w:t>4.响应回执的递交</w:t>
      </w:r>
    </w:p>
    <w:p>
      <w:pPr>
        <w:spacing w:line="360" w:lineRule="auto"/>
        <w:ind w:firstLine="480" w:firstLineChars="200"/>
        <w:rPr>
          <w:rFonts w:ascii="宋体"/>
          <w:snapToGrid w:val="0"/>
          <w:color w:val="000000"/>
          <w:kern w:val="0"/>
          <w:sz w:val="24"/>
        </w:rPr>
      </w:pPr>
      <w:r>
        <w:rPr>
          <w:rFonts w:hint="eastAsia" w:ascii="宋体" w:hAnsi="宋体"/>
          <w:color w:val="auto"/>
          <w:sz w:val="24"/>
        </w:rPr>
        <w:t>凡有意参加本次</w:t>
      </w:r>
      <w:r>
        <w:rPr>
          <w:rFonts w:hint="eastAsia" w:ascii="宋体" w:hAnsi="宋体"/>
          <w:color w:val="auto"/>
          <w:sz w:val="24"/>
          <w:lang w:eastAsia="zh-CN"/>
        </w:rPr>
        <w:t>采购</w:t>
      </w:r>
      <w:r>
        <w:rPr>
          <w:rFonts w:hint="eastAsia" w:ascii="宋体" w:hAnsi="宋体"/>
          <w:color w:val="auto"/>
          <w:sz w:val="24"/>
        </w:rPr>
        <w:t>的供应商，</w:t>
      </w:r>
      <w:r>
        <w:rPr>
          <w:rFonts w:hint="eastAsia" w:ascii="宋体" w:hAnsi="宋体"/>
          <w:color w:val="000000"/>
          <w:sz w:val="24"/>
        </w:rPr>
        <w:t>将附于本</w:t>
      </w:r>
      <w:r>
        <w:rPr>
          <w:rFonts w:hint="eastAsia" w:ascii="宋体" w:hAnsi="宋体"/>
          <w:color w:val="000000"/>
          <w:sz w:val="24"/>
          <w:lang w:val="en-US" w:eastAsia="zh-CN"/>
        </w:rPr>
        <w:t>公告</w:t>
      </w:r>
      <w:r>
        <w:rPr>
          <w:rFonts w:hint="eastAsia" w:ascii="宋体" w:hAnsi="宋体"/>
          <w:color w:val="000000"/>
          <w:sz w:val="24"/>
        </w:rPr>
        <w:t>后的</w:t>
      </w:r>
      <w:r>
        <w:rPr>
          <w:rFonts w:hint="eastAsia" w:ascii="宋体" w:hAnsi="宋体"/>
          <w:color w:val="000000"/>
          <w:sz w:val="24"/>
          <w:lang w:val="en-US" w:eastAsia="zh-CN"/>
        </w:rPr>
        <w:t>响应</w:t>
      </w:r>
      <w:r>
        <w:rPr>
          <w:rFonts w:hint="eastAsia" w:ascii="宋体" w:hAnsi="宋体"/>
          <w:color w:val="000000"/>
          <w:sz w:val="24"/>
        </w:rPr>
        <w:t>回执在</w:t>
      </w:r>
      <w:r>
        <w:rPr>
          <w:rFonts w:ascii="宋体" w:hAnsi="宋体"/>
          <w:color w:val="000000"/>
          <w:sz w:val="24"/>
          <w:highlight w:val="none"/>
          <w:u w:val="single"/>
        </w:rPr>
        <w:t>20</w:t>
      </w:r>
      <w:r>
        <w:rPr>
          <w:rFonts w:hint="eastAsia" w:ascii="宋体" w:hAnsi="宋体"/>
          <w:color w:val="000000"/>
          <w:sz w:val="24"/>
          <w:highlight w:val="none"/>
          <w:u w:val="single"/>
          <w:lang w:val="en-US" w:eastAsia="zh-CN"/>
        </w:rPr>
        <w:t>22</w:t>
      </w:r>
      <w:r>
        <w:rPr>
          <w:rFonts w:hint="eastAsia" w:ascii="宋体" w:hAnsi="宋体"/>
          <w:color w:val="000000"/>
          <w:sz w:val="24"/>
          <w:highlight w:val="none"/>
          <w:u w:val="single"/>
        </w:rPr>
        <w:t>年</w:t>
      </w:r>
      <w:r>
        <w:rPr>
          <w:rFonts w:hint="eastAsia" w:ascii="宋体" w:hAnsi="宋体"/>
          <w:color w:val="000000"/>
          <w:sz w:val="24"/>
          <w:highlight w:val="none"/>
          <w:u w:val="single"/>
          <w:lang w:val="en-US" w:eastAsia="zh-CN"/>
        </w:rPr>
        <w:t>10</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26</w:t>
      </w:r>
      <w:r>
        <w:rPr>
          <w:rFonts w:hint="eastAsia" w:ascii="宋体" w:hAnsi="宋体"/>
          <w:color w:val="000000"/>
          <w:sz w:val="24"/>
          <w:highlight w:val="none"/>
          <w:u w:val="single"/>
        </w:rPr>
        <w:t>日</w:t>
      </w:r>
      <w:r>
        <w:rPr>
          <w:rFonts w:hint="eastAsia" w:ascii="宋体" w:hAnsi="宋体"/>
          <w:color w:val="000000"/>
          <w:sz w:val="24"/>
          <w:highlight w:val="none"/>
          <w:u w:val="single"/>
          <w:lang w:val="en-US" w:eastAsia="zh-CN"/>
        </w:rPr>
        <w:t>17:00</w:t>
      </w:r>
      <w:r>
        <w:rPr>
          <w:rFonts w:hint="eastAsia" w:ascii="宋体" w:hAnsi="宋体"/>
          <w:color w:val="000000"/>
          <w:sz w:val="24"/>
        </w:rPr>
        <w:t>之内发送至</w:t>
      </w:r>
      <w:r>
        <w:rPr>
          <w:rFonts w:hint="eastAsia" w:ascii="宋体" w:hAnsi="宋体"/>
          <w:color w:val="000000"/>
          <w:sz w:val="24"/>
          <w:lang w:eastAsia="zh-CN"/>
        </w:rPr>
        <w:t>采购</w:t>
      </w:r>
      <w:r>
        <w:rPr>
          <w:rFonts w:hint="eastAsia" w:ascii="宋体" w:hAnsi="宋体"/>
          <w:color w:val="000000"/>
          <w:sz w:val="24"/>
        </w:rPr>
        <w:t>人邮箱：</w:t>
      </w:r>
      <w:r>
        <w:rPr>
          <w:rFonts w:hint="eastAsia" w:ascii="宋体" w:hAnsi="宋体"/>
          <w:snapToGrid w:val="0"/>
          <w:color w:val="000000"/>
          <w:kern w:val="0"/>
          <w:sz w:val="24"/>
          <w:lang w:val="en-US" w:eastAsia="zh-CN"/>
        </w:rPr>
        <w:t>541522495</w:t>
      </w:r>
      <w:r>
        <w:rPr>
          <w:rFonts w:ascii="宋体" w:hAnsi="宋体"/>
          <w:snapToGrid w:val="0"/>
          <w:color w:val="000000"/>
          <w:kern w:val="0"/>
          <w:sz w:val="24"/>
        </w:rPr>
        <w:t>@qq.com</w:t>
      </w:r>
      <w:r>
        <w:rPr>
          <w:rFonts w:hint="eastAsia" w:ascii="宋体" w:hAnsi="宋体"/>
          <w:snapToGrid w:val="0"/>
          <w:color w:val="000000"/>
          <w:kern w:val="0"/>
          <w:sz w:val="24"/>
        </w:rPr>
        <w:t>，</w:t>
      </w:r>
      <w:r>
        <w:rPr>
          <w:rFonts w:hint="eastAsia" w:ascii="宋体" w:hAnsi="宋体"/>
          <w:snapToGrid w:val="0"/>
          <w:color w:val="000000"/>
          <w:kern w:val="0"/>
          <w:sz w:val="24"/>
          <w:lang w:val="en-US" w:eastAsia="zh-CN"/>
        </w:rPr>
        <w:t>逾期无效。</w:t>
      </w:r>
      <w:r>
        <w:rPr>
          <w:rFonts w:hint="eastAsia" w:ascii="宋体" w:hAnsi="宋体"/>
          <w:snapToGrid w:val="0"/>
          <w:color w:val="000000"/>
          <w:kern w:val="0"/>
          <w:sz w:val="24"/>
          <w:lang w:eastAsia="zh-CN"/>
        </w:rPr>
        <w:t>采购</w:t>
      </w:r>
      <w:r>
        <w:rPr>
          <w:rFonts w:hint="eastAsia" w:ascii="宋体" w:hAnsi="宋体"/>
          <w:snapToGrid w:val="0"/>
          <w:color w:val="000000"/>
          <w:kern w:val="0"/>
          <w:sz w:val="24"/>
        </w:rPr>
        <w:t>人</w:t>
      </w:r>
      <w:r>
        <w:rPr>
          <w:rFonts w:hint="eastAsia" w:ascii="宋体" w:hAnsi="宋体"/>
          <w:snapToGrid w:val="0"/>
          <w:color w:val="000000"/>
          <w:kern w:val="0"/>
          <w:sz w:val="24"/>
          <w:lang w:val="en-US" w:eastAsia="zh-CN"/>
        </w:rPr>
        <w:t>在</w:t>
      </w:r>
      <w:r>
        <w:rPr>
          <w:rFonts w:hint="eastAsia" w:ascii="宋体" w:hAnsi="宋体"/>
          <w:snapToGrid w:val="0"/>
          <w:color w:val="000000"/>
          <w:kern w:val="0"/>
          <w:sz w:val="24"/>
        </w:rPr>
        <w:t>收到</w:t>
      </w:r>
      <w:r>
        <w:rPr>
          <w:rFonts w:hint="eastAsia" w:ascii="宋体" w:hAnsi="宋体"/>
          <w:snapToGrid w:val="0"/>
          <w:color w:val="000000"/>
          <w:kern w:val="0"/>
          <w:sz w:val="24"/>
          <w:lang w:val="en-US" w:eastAsia="zh-CN"/>
        </w:rPr>
        <w:t>响应</w:t>
      </w:r>
      <w:r>
        <w:rPr>
          <w:rFonts w:hint="eastAsia" w:ascii="宋体" w:hAnsi="宋体"/>
          <w:snapToGrid w:val="0"/>
          <w:color w:val="000000"/>
          <w:kern w:val="0"/>
          <w:sz w:val="24"/>
        </w:rPr>
        <w:t>回执后</w:t>
      </w:r>
      <w:r>
        <w:rPr>
          <w:rFonts w:hint="eastAsia" w:ascii="宋体" w:hAnsi="宋体"/>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宋体"/>
          <w:b/>
          <w:snapToGrid w:val="0"/>
          <w:color w:val="000000"/>
          <w:kern w:val="0"/>
          <w:sz w:val="24"/>
        </w:rPr>
      </w:pPr>
      <w:bookmarkStart w:id="1" w:name="_Toc332793818"/>
      <w:bookmarkStart w:id="2" w:name="_Toc332965960"/>
      <w:bookmarkStart w:id="3" w:name="_Toc332793891"/>
      <w:r>
        <w:rPr>
          <w:rFonts w:ascii="宋体" w:hAnsi="宋体"/>
          <w:b/>
          <w:snapToGrid w:val="0"/>
          <w:color w:val="000000"/>
          <w:kern w:val="0"/>
          <w:sz w:val="24"/>
        </w:rPr>
        <w:t xml:space="preserve">3. </w:t>
      </w:r>
      <w:r>
        <w:rPr>
          <w:rFonts w:hint="eastAsia" w:ascii="宋体" w:hAnsi="宋体"/>
          <w:b/>
          <w:snapToGrid w:val="0"/>
          <w:color w:val="000000"/>
          <w:kern w:val="0"/>
          <w:sz w:val="24"/>
        </w:rPr>
        <w:t>联系方式</w:t>
      </w:r>
      <w:bookmarkEnd w:id="1"/>
      <w:bookmarkEnd w:id="2"/>
      <w:bookmarkEnd w:id="3"/>
    </w:p>
    <w:p>
      <w:pPr>
        <w:topLinePunct/>
        <w:spacing w:line="360" w:lineRule="auto"/>
        <w:rPr>
          <w:rFonts w:ascii="宋体"/>
          <w:color w:val="000000"/>
          <w:sz w:val="24"/>
        </w:rPr>
      </w:pPr>
      <w:r>
        <w:rPr>
          <w:rFonts w:hint="eastAsia" w:ascii="宋体" w:hAnsi="宋体"/>
          <w:color w:val="000000"/>
          <w:sz w:val="24"/>
          <w:lang w:val="en-US" w:eastAsia="zh-CN"/>
        </w:rPr>
        <w:t>采</w:t>
      </w:r>
      <w:r>
        <w:rPr>
          <w:rFonts w:ascii="宋体" w:hAnsi="宋体"/>
          <w:color w:val="000000"/>
          <w:sz w:val="24"/>
        </w:rPr>
        <w:t xml:space="preserve">  </w:t>
      </w:r>
      <w:r>
        <w:rPr>
          <w:rFonts w:hint="eastAsia" w:ascii="宋体" w:hAnsi="宋体"/>
          <w:color w:val="000000"/>
          <w:sz w:val="24"/>
          <w:lang w:val="en-US" w:eastAsia="zh-CN"/>
        </w:rPr>
        <w:t>购</w:t>
      </w:r>
      <w:r>
        <w:rPr>
          <w:rFonts w:ascii="宋体" w:hAnsi="宋体"/>
          <w:color w:val="000000"/>
          <w:sz w:val="24"/>
        </w:rPr>
        <w:t xml:space="preserve">  </w:t>
      </w:r>
      <w:r>
        <w:rPr>
          <w:rFonts w:hint="eastAsia" w:ascii="宋体" w:hAnsi="宋体"/>
          <w:color w:val="000000"/>
          <w:sz w:val="24"/>
        </w:rPr>
        <w:t>人：广州诚安路桥检测有限公司</w:t>
      </w:r>
    </w:p>
    <w:p>
      <w:pPr>
        <w:topLinePunct/>
        <w:spacing w:line="360" w:lineRule="auto"/>
        <w:rPr>
          <w:rFonts w:ascii="宋体"/>
          <w:color w:val="000000"/>
          <w:sz w:val="24"/>
        </w:rPr>
      </w:pPr>
      <w:r>
        <w:rPr>
          <w:rFonts w:hint="eastAsia" w:ascii="宋体" w:hAnsi="宋体"/>
          <w:color w:val="000000"/>
          <w:sz w:val="24"/>
          <w:lang w:eastAsia="zh-CN"/>
        </w:rPr>
        <w:t>采购</w:t>
      </w:r>
      <w:r>
        <w:rPr>
          <w:rFonts w:hint="eastAsia" w:ascii="宋体" w:hAnsi="宋体"/>
          <w:color w:val="000000"/>
          <w:sz w:val="24"/>
        </w:rPr>
        <w:t>人地址：广州市白云区新广从一路</w:t>
      </w:r>
      <w:r>
        <w:rPr>
          <w:rFonts w:ascii="宋体" w:hAnsi="宋体"/>
          <w:color w:val="000000"/>
          <w:sz w:val="24"/>
        </w:rPr>
        <w:t>338</w:t>
      </w:r>
      <w:r>
        <w:rPr>
          <w:rFonts w:hint="eastAsia" w:ascii="宋体" w:hAnsi="宋体"/>
          <w:color w:val="000000"/>
          <w:sz w:val="24"/>
        </w:rPr>
        <w:t>号</w:t>
      </w:r>
    </w:p>
    <w:p>
      <w:pPr>
        <w:topLinePunct/>
        <w:spacing w:line="360" w:lineRule="auto"/>
        <w:rPr>
          <w:rFonts w:hint="eastAsia" w:ascii="宋体" w:eastAsia="宋体"/>
          <w:color w:val="000000"/>
          <w:sz w:val="24"/>
          <w:lang w:eastAsia="zh-CN"/>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w:t>
      </w:r>
      <w:r>
        <w:rPr>
          <w:rFonts w:hint="eastAsia" w:ascii="宋体" w:hAnsi="宋体"/>
          <w:color w:val="000000"/>
          <w:sz w:val="24"/>
          <w:lang w:val="en-US" w:eastAsia="zh-CN"/>
        </w:rPr>
        <w:t>王</w:t>
      </w:r>
      <w:r>
        <w:rPr>
          <w:rFonts w:hint="eastAsia" w:ascii="宋体" w:hAnsi="宋体"/>
          <w:color w:val="000000"/>
          <w:sz w:val="24"/>
          <w:lang w:eastAsia="zh-CN"/>
        </w:rPr>
        <w:t>工</w:t>
      </w:r>
    </w:p>
    <w:p>
      <w:pPr>
        <w:topLinePunct/>
        <w:spacing w:line="360" w:lineRule="auto"/>
        <w:rPr>
          <w:rFonts w:ascii="宋体"/>
          <w:color w:val="000000"/>
          <w:sz w:val="24"/>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rPr>
        <w:t>020-87436572</w:t>
      </w:r>
    </w:p>
    <w:p>
      <w:pPr>
        <w:topLinePunct/>
        <w:spacing w:line="360" w:lineRule="auto"/>
        <w:rPr>
          <w:rFonts w:ascii="宋体"/>
          <w:color w:val="000000"/>
          <w:sz w:val="24"/>
        </w:rPr>
      </w:pPr>
      <w:r>
        <w:rPr>
          <w:rFonts w:hint="eastAsia" w:ascii="宋体" w:hAnsi="宋体"/>
          <w:color w:val="000000"/>
          <w:sz w:val="24"/>
        </w:rPr>
        <w:t>传</w:t>
      </w:r>
      <w:r>
        <w:rPr>
          <w:rFonts w:ascii="宋体" w:hAnsi="宋体"/>
          <w:color w:val="000000"/>
          <w:sz w:val="24"/>
        </w:rPr>
        <w:t xml:space="preserve">      </w:t>
      </w:r>
      <w:r>
        <w:rPr>
          <w:rFonts w:hint="eastAsia" w:ascii="宋体" w:hAnsi="宋体"/>
          <w:color w:val="000000"/>
          <w:sz w:val="24"/>
        </w:rPr>
        <w:t>真：</w:t>
      </w:r>
      <w:r>
        <w:rPr>
          <w:rFonts w:ascii="宋体" w:hAnsi="宋体"/>
          <w:color w:val="000000"/>
          <w:sz w:val="24"/>
        </w:rPr>
        <w:t>020-87436572</w:t>
      </w:r>
    </w:p>
    <w:p>
      <w:pPr>
        <w:topLinePunct/>
        <w:spacing w:line="360" w:lineRule="auto"/>
        <w:jc w:val="right"/>
        <w:rPr>
          <w:rFonts w:ascii="宋体"/>
          <w:color w:val="000000"/>
          <w:sz w:val="24"/>
        </w:rPr>
      </w:pPr>
      <w:r>
        <w:rPr>
          <w:rFonts w:hint="eastAsia" w:ascii="宋体" w:hAnsi="宋体"/>
          <w:color w:val="000000"/>
          <w:sz w:val="24"/>
        </w:rPr>
        <w:t>广州诚安路桥检测有限公司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10</w:t>
      </w:r>
      <w:r>
        <w:rPr>
          <w:rFonts w:hint="eastAsia" w:ascii="宋体" w:hAnsi="宋体"/>
          <w:color w:val="000000"/>
          <w:sz w:val="24"/>
        </w:rPr>
        <w:t>月</w:t>
      </w:r>
      <w:r>
        <w:rPr>
          <w:rFonts w:hint="eastAsia" w:ascii="宋体" w:hAnsi="宋体"/>
          <w:color w:val="000000"/>
          <w:sz w:val="24"/>
          <w:lang w:val="en-US" w:eastAsia="zh-CN"/>
        </w:rPr>
        <w:t>24</w:t>
      </w:r>
      <w:r>
        <w:rPr>
          <w:rFonts w:hint="eastAsia" w:ascii="宋体" w:hAnsi="宋体"/>
          <w:color w:val="000000"/>
          <w:sz w:val="24"/>
        </w:rPr>
        <w:t>日</w:t>
      </w:r>
    </w:p>
    <w:p>
      <w:r>
        <w:br w:type="page"/>
      </w:r>
    </w:p>
    <w:p>
      <w:pPr>
        <w:tabs>
          <w:tab w:val="left" w:pos="3229"/>
        </w:tabs>
        <w:spacing w:line="460" w:lineRule="exact"/>
        <w:rPr>
          <w:rFonts w:hint="eastAsia" w:ascii="宋体" w:hAnsi="宋体" w:cs="宋体"/>
          <w:szCs w:val="21"/>
        </w:rPr>
      </w:pPr>
      <w:r>
        <w:rPr>
          <w:rFonts w:hint="eastAsia" w:ascii="宋体" w:hAnsi="宋体" w:cs="宋体"/>
          <w:b/>
          <w:bCs/>
          <w:szCs w:val="21"/>
        </w:rPr>
        <w:t>附录</w:t>
      </w:r>
    </w:p>
    <w:p>
      <w:pPr>
        <w:tabs>
          <w:tab w:val="left" w:pos="3229"/>
        </w:tabs>
        <w:spacing w:line="460" w:lineRule="exact"/>
        <w:rPr>
          <w:rFonts w:hint="eastAsia" w:ascii="宋体" w:hAnsi="宋体" w:cs="宋体"/>
          <w:szCs w:val="21"/>
        </w:rPr>
      </w:pPr>
    </w:p>
    <w:p>
      <w:pPr>
        <w:spacing w:line="460" w:lineRule="exact"/>
        <w:jc w:val="center"/>
        <w:rPr>
          <w:rFonts w:hint="eastAsia" w:ascii="宋体" w:hAnsi="宋体" w:cs="宋体"/>
          <w:b/>
          <w:sz w:val="24"/>
        </w:rPr>
      </w:pPr>
      <w:bookmarkStart w:id="4" w:name="_Toc152047200"/>
      <w:bookmarkStart w:id="5" w:name="_Toc144974404"/>
      <w:bookmarkStart w:id="6" w:name="_Toc179715693"/>
      <w:r>
        <w:rPr>
          <w:rFonts w:hint="eastAsia" w:ascii="宋体" w:hAnsi="宋体" w:cs="宋体"/>
          <w:b/>
          <w:sz w:val="24"/>
        </w:rPr>
        <w:t>附录1  资格审查条件（资格最低要求）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jc w:val="center"/>
        </w:trPr>
        <w:tc>
          <w:tcPr>
            <w:tcW w:w="9070" w:type="dxa"/>
            <w:tcBorders>
              <w:top w:val="single" w:color="auto" w:sz="4" w:space="0"/>
              <w:left w:val="single" w:color="auto" w:sz="4" w:space="0"/>
              <w:bottom w:val="single" w:color="auto" w:sz="4" w:space="0"/>
              <w:right w:val="single" w:color="auto" w:sz="4" w:space="0"/>
            </w:tcBorders>
            <w:noWrap w:val="0"/>
            <w:vAlign w:val="center"/>
          </w:tcPr>
          <w:p>
            <w:pPr>
              <w:spacing w:line="460" w:lineRule="exact"/>
              <w:jc w:val="center"/>
              <w:rPr>
                <w:rFonts w:hint="eastAsia" w:ascii="宋体" w:hAnsi="宋体" w:cs="宋体"/>
                <w:b/>
                <w:sz w:val="24"/>
              </w:rPr>
            </w:pPr>
            <w:r>
              <w:rPr>
                <w:rFonts w:hint="eastAsia" w:ascii="宋体" w:hAnsi="宋体" w:cs="宋体"/>
                <w:b/>
                <w:sz w:val="24"/>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8" w:hRule="atLeast"/>
          <w:jc w:val="center"/>
        </w:trPr>
        <w:tc>
          <w:tcPr>
            <w:tcW w:w="9070" w:type="dxa"/>
            <w:tcBorders>
              <w:top w:val="single" w:color="auto" w:sz="4" w:space="0"/>
              <w:left w:val="single" w:color="auto" w:sz="4" w:space="0"/>
              <w:bottom w:val="single" w:color="auto" w:sz="4" w:space="0"/>
              <w:right w:val="single" w:color="auto" w:sz="4" w:space="0"/>
            </w:tcBorders>
            <w:noWrap w:val="0"/>
            <w:vAlign w:val="center"/>
          </w:tcPr>
          <w:p>
            <w:pPr>
              <w:snapToGrid w:val="0"/>
              <w:spacing w:line="460" w:lineRule="exact"/>
              <w:rPr>
                <w:rFonts w:hint="eastAsia" w:ascii="宋体" w:hAnsi="宋体" w:cs="宋体"/>
                <w:szCs w:val="21"/>
              </w:rPr>
            </w:pPr>
            <w:r>
              <w:rPr>
                <w:rFonts w:hint="eastAsia" w:ascii="宋体" w:hAnsi="宋体" w:cs="宋体"/>
                <w:szCs w:val="21"/>
              </w:rPr>
              <w:t>供应商具有</w:t>
            </w:r>
            <w:r>
              <w:rPr>
                <w:rFonts w:hint="eastAsia" w:ascii="宋体" w:hAnsi="宋体" w:eastAsia="宋体" w:cs="宋体"/>
                <w:szCs w:val="21"/>
              </w:rPr>
              <w:t>独立法人或事业法人资格，持有有效的法人营业执照或事业单位法人证书。</w:t>
            </w:r>
          </w:p>
        </w:tc>
      </w:tr>
    </w:tbl>
    <w:p>
      <w:pPr>
        <w:spacing w:line="460" w:lineRule="exact"/>
        <w:rPr>
          <w:rFonts w:hint="eastAsia" w:ascii="宋体" w:hAnsi="宋体" w:cs="宋体"/>
          <w:bCs/>
          <w:sz w:val="18"/>
          <w:szCs w:val="18"/>
        </w:rPr>
      </w:pPr>
      <w:r>
        <w:rPr>
          <w:rFonts w:hint="eastAsia" w:ascii="宋体" w:hAnsi="宋体" w:cs="宋体"/>
          <w:sz w:val="24"/>
        </w:rPr>
        <w:t xml:space="preserve"> </w:t>
      </w:r>
      <w:r>
        <w:rPr>
          <w:rFonts w:hint="eastAsia" w:ascii="宋体" w:hAnsi="宋体" w:cs="宋体"/>
          <w:bCs/>
          <w:sz w:val="18"/>
          <w:szCs w:val="18"/>
        </w:rPr>
        <w:t xml:space="preserve">  注：需在响应文件格式表3-1后附上述证明材料。</w:t>
      </w:r>
    </w:p>
    <w:p>
      <w:pPr>
        <w:spacing w:line="460" w:lineRule="exact"/>
        <w:rPr>
          <w:rFonts w:hint="eastAsia" w:ascii="宋体" w:hAnsi="宋体" w:cs="宋体"/>
          <w:bCs/>
          <w:sz w:val="18"/>
          <w:szCs w:val="18"/>
        </w:rPr>
      </w:pPr>
    </w:p>
    <w:p>
      <w:pPr>
        <w:spacing w:line="460" w:lineRule="exact"/>
        <w:jc w:val="center"/>
        <w:rPr>
          <w:rFonts w:hint="eastAsia" w:ascii="宋体" w:hAnsi="宋体" w:cs="宋体"/>
          <w:b/>
          <w:sz w:val="24"/>
        </w:rPr>
      </w:pPr>
      <w:r>
        <w:rPr>
          <w:rFonts w:hint="eastAsia" w:ascii="宋体" w:hAnsi="宋体" w:cs="宋体"/>
          <w:b/>
          <w:sz w:val="24"/>
        </w:rPr>
        <w:t>附录2  资格审查条件（业绩最低要求）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atLeast"/>
          <w:jc w:val="center"/>
        </w:trPr>
        <w:tc>
          <w:tcPr>
            <w:tcW w:w="9078" w:type="dxa"/>
            <w:noWrap w:val="0"/>
            <w:vAlign w:val="center"/>
          </w:tcPr>
          <w:p>
            <w:pPr>
              <w:jc w:val="center"/>
              <w:rPr>
                <w:rFonts w:hint="eastAsia" w:ascii="宋体" w:hAnsi="宋体" w:cs="宋体"/>
                <w:b/>
                <w:sz w:val="24"/>
              </w:rPr>
            </w:pPr>
            <w:r>
              <w:rPr>
                <w:rFonts w:hint="eastAsia" w:ascii="宋体" w:hAnsi="宋体" w:cs="宋体"/>
                <w:b/>
                <w:sz w:val="24"/>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78" w:type="dxa"/>
            <w:noWrap w:val="0"/>
            <w:vAlign w:val="center"/>
          </w:tcPr>
          <w:p>
            <w:pPr>
              <w:snapToGrid w:val="0"/>
              <w:spacing w:line="360" w:lineRule="auto"/>
              <w:rPr>
                <w:rFonts w:hint="eastAsia" w:ascii="宋体" w:hAnsi="宋体" w:cs="宋体"/>
                <w:b/>
                <w:szCs w:val="21"/>
              </w:rPr>
            </w:pPr>
            <w:r>
              <w:rPr>
                <w:rFonts w:hint="eastAsia" w:ascii="宋体" w:hAnsi="宋体" w:cs="宋体"/>
                <w:color w:val="000000"/>
                <w:szCs w:val="21"/>
              </w:rPr>
              <w:t>近</w:t>
            </w:r>
            <w:r>
              <w:rPr>
                <w:rFonts w:hint="eastAsia" w:ascii="宋体" w:hAnsi="宋体" w:cs="宋体"/>
                <w:color w:val="000000"/>
                <w:szCs w:val="21"/>
                <w:lang w:val="en-US" w:eastAsia="zh-CN"/>
              </w:rPr>
              <w:t>5</w:t>
            </w:r>
            <w:r>
              <w:rPr>
                <w:rFonts w:hint="eastAsia" w:ascii="宋体" w:hAnsi="宋体" w:cs="宋体"/>
                <w:color w:val="000000"/>
                <w:szCs w:val="21"/>
              </w:rPr>
              <w:t>年内（201</w:t>
            </w:r>
            <w:r>
              <w:rPr>
                <w:rFonts w:hint="eastAsia" w:ascii="宋体" w:hAnsi="宋体" w:cs="宋体"/>
                <w:color w:val="000000"/>
                <w:szCs w:val="21"/>
                <w:lang w:val="en-US" w:eastAsia="zh-CN"/>
              </w:rPr>
              <w:t>7</w:t>
            </w:r>
            <w:r>
              <w:rPr>
                <w:rFonts w:hint="eastAsia" w:ascii="宋体" w:hAnsi="宋体" w:cs="宋体"/>
                <w:color w:val="000000"/>
                <w:szCs w:val="21"/>
              </w:rPr>
              <w:t>年</w:t>
            </w:r>
            <w:r>
              <w:rPr>
                <w:rFonts w:hint="eastAsia" w:ascii="宋体" w:hAnsi="宋体" w:cs="宋体"/>
                <w:color w:val="000000"/>
                <w:szCs w:val="21"/>
                <w:lang w:val="en-US" w:eastAsia="zh-CN"/>
              </w:rPr>
              <w:t>1</w:t>
            </w:r>
            <w:r>
              <w:rPr>
                <w:rFonts w:hint="eastAsia" w:ascii="宋体" w:hAnsi="宋体" w:cs="宋体"/>
                <w:color w:val="000000"/>
                <w:szCs w:val="21"/>
              </w:rPr>
              <w:t>月1日至递交响应文件截止之日止）至少独立承揽</w:t>
            </w:r>
            <w:r>
              <w:rPr>
                <w:rFonts w:hint="eastAsia" w:ascii="宋体" w:hAnsi="宋体" w:eastAsia="宋体" w:cs="宋体"/>
                <w:color w:val="000000"/>
                <w:szCs w:val="21"/>
              </w:rPr>
              <w:t>过相关领域至少完成过1项工程技术咨询服务工作或1项工程技术研究或1项科学技术研究或授权发明专利1项</w:t>
            </w:r>
          </w:p>
        </w:tc>
      </w:tr>
    </w:tbl>
    <w:p>
      <w:pPr>
        <w:ind w:firstLine="360" w:firstLineChars="200"/>
        <w:rPr>
          <w:rFonts w:hint="eastAsia" w:ascii="宋体" w:hAnsi="宋体" w:cs="宋体"/>
          <w:bCs/>
          <w:sz w:val="18"/>
          <w:szCs w:val="18"/>
        </w:rPr>
      </w:pPr>
      <w:r>
        <w:rPr>
          <w:rFonts w:hint="eastAsia" w:ascii="宋体" w:hAnsi="宋体" w:cs="宋体"/>
          <w:bCs/>
          <w:sz w:val="18"/>
          <w:szCs w:val="18"/>
        </w:rPr>
        <w:t>注：1.需在响应文件格式表3-2后须附</w:t>
      </w:r>
      <w:r>
        <w:rPr>
          <w:rFonts w:hint="eastAsia" w:ascii="宋体" w:hAnsi="宋体" w:cs="宋体"/>
          <w:sz w:val="18"/>
          <w:szCs w:val="18"/>
        </w:rPr>
        <w:t>中标通知书（如有）、合同协议书的复印件</w:t>
      </w:r>
      <w:r>
        <w:rPr>
          <w:rFonts w:hint="eastAsia" w:ascii="宋体" w:hAnsi="宋体" w:cs="宋体"/>
          <w:bCs/>
          <w:sz w:val="18"/>
          <w:szCs w:val="18"/>
        </w:rPr>
        <w:t>。</w:t>
      </w:r>
    </w:p>
    <w:p>
      <w:pPr>
        <w:spacing w:line="360" w:lineRule="auto"/>
        <w:rPr>
          <w:rFonts w:hint="eastAsia" w:ascii="宋体" w:hAnsi="宋体" w:cs="宋体"/>
          <w:sz w:val="18"/>
          <w:szCs w:val="18"/>
        </w:rPr>
      </w:pPr>
      <w:r>
        <w:rPr>
          <w:rFonts w:hint="eastAsia" w:ascii="宋体" w:hAnsi="宋体" w:cs="宋体"/>
          <w:sz w:val="18"/>
          <w:szCs w:val="18"/>
        </w:rPr>
        <w:t xml:space="preserve">        2.承接时间以合同中载明的项目合同签订时间为准，如合同无载明时间和工作内容，需附业主开具的相应内容证明材料。</w:t>
      </w:r>
    </w:p>
    <w:p>
      <w:pPr>
        <w:ind w:firstLine="360"/>
        <w:rPr>
          <w:rFonts w:hint="eastAsia" w:ascii="宋体" w:hAnsi="宋体" w:cs="宋体"/>
          <w:bCs/>
          <w:sz w:val="18"/>
          <w:szCs w:val="18"/>
        </w:rPr>
      </w:pPr>
      <w:r>
        <w:rPr>
          <w:rFonts w:hint="eastAsia" w:ascii="宋体" w:hAnsi="宋体" w:cs="宋体"/>
          <w:sz w:val="18"/>
          <w:szCs w:val="18"/>
        </w:rPr>
        <w:t xml:space="preserve">    3.如近年来，供应商法人机构发生合法变更或重组或法人名称变更时，应提供相关部门的合法批件或其他相关证明材料来证明其所附业绩的继承性。</w:t>
      </w:r>
    </w:p>
    <w:bookmarkEnd w:id="4"/>
    <w:bookmarkEnd w:id="5"/>
    <w:bookmarkEnd w:id="6"/>
    <w:p>
      <w:pPr>
        <w:jc w:val="center"/>
        <w:rPr>
          <w:rFonts w:hint="eastAsia" w:ascii="宋体" w:hAnsi="宋体" w:cs="宋体"/>
          <w:b/>
          <w:sz w:val="24"/>
        </w:rPr>
      </w:pPr>
    </w:p>
    <w:p>
      <w:pPr>
        <w:pStyle w:val="3"/>
        <w:rPr>
          <w:rFonts w:hint="eastAsia" w:hAnsi="宋体" w:cs="宋体"/>
          <w:b/>
          <w:bCs/>
          <w:sz w:val="18"/>
          <w:szCs w:val="18"/>
        </w:rPr>
      </w:pPr>
    </w:p>
    <w:p>
      <w:pPr>
        <w:jc w:val="center"/>
        <w:rPr>
          <w:rFonts w:hint="eastAsia" w:ascii="宋体" w:hAnsi="宋体" w:cs="宋体"/>
          <w:b/>
          <w:sz w:val="24"/>
        </w:rPr>
      </w:pPr>
      <w:r>
        <w:rPr>
          <w:rFonts w:hint="eastAsia" w:ascii="宋体" w:hAnsi="宋体" w:cs="宋体"/>
          <w:b/>
          <w:sz w:val="24"/>
        </w:rPr>
        <w:t>附录</w:t>
      </w:r>
      <w:r>
        <w:rPr>
          <w:rFonts w:hint="eastAsia" w:ascii="宋体" w:hAnsi="宋体" w:cs="宋体"/>
          <w:b/>
          <w:sz w:val="24"/>
          <w:lang w:val="en-US" w:eastAsia="zh-CN"/>
        </w:rPr>
        <w:t>3</w:t>
      </w:r>
      <w:r>
        <w:rPr>
          <w:rFonts w:hint="eastAsia" w:ascii="宋体" w:hAnsi="宋体" w:cs="宋体"/>
          <w:b/>
          <w:sz w:val="24"/>
        </w:rPr>
        <w:t xml:space="preserve">  资格审查条件（信誉最低要求）</w:t>
      </w:r>
    </w:p>
    <w:p>
      <w:pPr>
        <w:jc w:val="center"/>
        <w:rPr>
          <w:rFonts w:hint="eastAsia" w:ascii="宋体" w:hAnsi="宋体" w:cs="宋体"/>
          <w:b/>
          <w:sz w:val="24"/>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3" w:type="dxa"/>
            <w:noWrap w:val="0"/>
            <w:vAlign w:val="center"/>
          </w:tcPr>
          <w:p>
            <w:pPr>
              <w:jc w:val="center"/>
              <w:rPr>
                <w:rFonts w:hint="eastAsia" w:ascii="宋体" w:hAnsi="宋体" w:cs="宋体"/>
                <w:b/>
                <w:sz w:val="24"/>
              </w:rPr>
            </w:pPr>
            <w:r>
              <w:rPr>
                <w:rFonts w:hint="eastAsia" w:ascii="宋体" w:hAnsi="宋体" w:cs="宋体"/>
                <w:b/>
                <w:sz w:val="24"/>
              </w:rPr>
              <w:t>信誉要求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9003" w:type="dxa"/>
            <w:noWrap w:val="0"/>
            <w:vAlign w:val="top"/>
          </w:tcPr>
          <w:p>
            <w:pPr>
              <w:snapToGrid w:val="0"/>
              <w:spacing w:line="360" w:lineRule="auto"/>
              <w:jc w:val="left"/>
              <w:rPr>
                <w:rFonts w:hint="eastAsia" w:ascii="宋体" w:hAnsi="宋体" w:cs="宋体"/>
              </w:rPr>
            </w:pPr>
            <w:r>
              <w:rPr>
                <w:rFonts w:hint="eastAsia" w:ascii="宋体" w:hAnsi="宋体" w:cs="宋体"/>
                <w:szCs w:val="21"/>
              </w:rPr>
              <w:t>供应商在“信用中国”网站（http://www.creditchina.gov.cn/）中未被列入失信被执行人名单，在国家企业信用信息公示系统（www.gsxt.gov.cn）中未被列入严重违法失信企业名单。</w:t>
            </w:r>
          </w:p>
        </w:tc>
      </w:tr>
    </w:tbl>
    <w:p>
      <w:pPr>
        <w:ind w:firstLine="450" w:firstLineChars="250"/>
        <w:rPr>
          <w:rFonts w:hint="eastAsia" w:ascii="宋体" w:hAnsi="宋体" w:cs="宋体"/>
          <w:bCs/>
          <w:sz w:val="18"/>
          <w:szCs w:val="18"/>
        </w:rPr>
      </w:pPr>
      <w:r>
        <w:rPr>
          <w:rFonts w:hint="eastAsia" w:ascii="宋体" w:hAnsi="宋体" w:cs="宋体"/>
          <w:bCs/>
          <w:sz w:val="18"/>
          <w:szCs w:val="18"/>
        </w:rPr>
        <w:t>注：以采购人在开标当天查询为准，供应商可不提供上述资料。</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r>
        <w:rPr>
          <w:rFonts w:hint="default" w:ascii="Times New Roman" w:hAnsi="Times New Roman" w:eastAsia="仿宋_GB2312"/>
          <w:kern w:val="0"/>
          <w:sz w:val="28"/>
          <w:szCs w:val="44"/>
          <w:highlight w:val="none"/>
          <w:lang w:val="en-US" w:eastAsia="zh-CN"/>
        </w:rPr>
        <w:t>（</w:t>
      </w:r>
      <w:r>
        <w:rPr>
          <w:rFonts w:ascii="Times New Roman" w:hAnsi="Times New Roman" w:eastAsia="仿宋_GB2312"/>
          <w:kern w:val="0"/>
          <w:sz w:val="28"/>
          <w:szCs w:val="44"/>
          <w:highlight w:val="none"/>
        </w:rPr>
        <w:t>仅供参考</w:t>
      </w:r>
      <w:r>
        <w:rPr>
          <w:rFonts w:hint="default" w:ascii="Times New Roman" w:hAnsi="Times New Roman" w:eastAsia="仿宋_GB2312"/>
          <w:kern w:val="0"/>
          <w:sz w:val="28"/>
          <w:szCs w:val="44"/>
          <w:highlight w:val="none"/>
          <w:lang w:val="en-US" w:eastAsia="zh-CN"/>
        </w:rPr>
        <w:t>）</w:t>
      </w: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w:t>
      </w:r>
      <w:r>
        <w:rPr>
          <w:rFonts w:hint="eastAsia" w:ascii="仿宋" w:hAnsi="仿宋" w:eastAsia="仿宋" w:cs="仿宋"/>
          <w:snapToGrid w:val="0"/>
          <w:color w:val="000000"/>
          <w:kern w:val="0"/>
          <w:sz w:val="28"/>
          <w:szCs w:val="28"/>
          <w:highlight w:val="none"/>
          <w:lang w:val="en-US" w:eastAsia="zh-CN"/>
        </w:rPr>
        <w:t>**</w:t>
      </w:r>
      <w:r>
        <w:rPr>
          <w:rFonts w:hint="eastAsia" w:ascii="仿宋" w:hAnsi="仿宋" w:eastAsia="仿宋" w:cs="仿宋"/>
          <w:snapToGrid w:val="0"/>
          <w:color w:val="000000"/>
          <w:kern w:val="0"/>
          <w:sz w:val="28"/>
          <w:szCs w:val="28"/>
          <w:highlight w:val="none"/>
          <w:lang w:eastAsia="zh-CN"/>
        </w:rPr>
        <w:t>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GJjOWQ0OTc1NGVjMzAxN2Q0Y2EzMDFlZjI2ZDgifQ=="/>
  </w:docVars>
  <w:rsids>
    <w:rsidRoot w:val="00000000"/>
    <w:rsid w:val="02D12CFC"/>
    <w:rsid w:val="0A69025B"/>
    <w:rsid w:val="12ED5CBA"/>
    <w:rsid w:val="13440D22"/>
    <w:rsid w:val="140A2A43"/>
    <w:rsid w:val="169D15CF"/>
    <w:rsid w:val="270E0DF5"/>
    <w:rsid w:val="57BF2D4E"/>
    <w:rsid w:val="58B74CBC"/>
    <w:rsid w:val="63166D1A"/>
    <w:rsid w:val="794D6E70"/>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1111</Words>
  <Characters>1240</Characters>
  <Lines>0</Lines>
  <Paragraphs>0</Paragraphs>
  <TotalTime>3</TotalTime>
  <ScaleCrop>false</ScaleCrop>
  <LinksUpToDate>false</LinksUpToDate>
  <CharactersWithSpaces>1496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wg杰</cp:lastModifiedBy>
  <cp:lastPrinted>2022-10-21T08:02:00Z</cp:lastPrinted>
  <dcterms:modified xsi:type="dcterms:W3CDTF">2022-10-24T00:45:33Z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B75484C30A0D48A998196F431A9A3E69</vt:lpwstr>
  </property>
</Properties>
</file>